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823842" w14:textId="77777777" w:rsidR="005304EC" w:rsidRPr="00CE4961" w:rsidRDefault="005304EC" w:rsidP="00CE4961">
      <w:pPr>
        <w:pStyle w:val="Heading1"/>
        <w:rPr>
          <w:color w:val="auto"/>
        </w:rPr>
      </w:pPr>
      <w:r w:rsidRPr="00CE4961">
        <w:rPr>
          <w:color w:val="auto"/>
        </w:rPr>
        <w:t>Sales Force Management</w:t>
      </w:r>
    </w:p>
    <w:p w14:paraId="11B4EA6F" w14:textId="77777777" w:rsidR="005304EC" w:rsidRPr="00CE4961" w:rsidRDefault="005304EC" w:rsidP="005304EC">
      <w:pPr>
        <w:autoSpaceDE w:val="0"/>
        <w:autoSpaceDN w:val="0"/>
        <w:adjustRightInd w:val="0"/>
        <w:spacing w:after="120" w:line="240" w:lineRule="atLeast"/>
        <w:jc w:val="center"/>
        <w:rPr>
          <w:rFonts w:ascii="Helv" w:hAnsi="Helv" w:cs="Helv"/>
          <w:sz w:val="24"/>
          <w:szCs w:val="24"/>
        </w:rPr>
      </w:pPr>
      <w:r w:rsidRPr="00CE4961">
        <w:rPr>
          <w:rFonts w:ascii="Helv" w:hAnsi="Helv" w:cs="Helv"/>
          <w:sz w:val="24"/>
          <w:szCs w:val="24"/>
        </w:rPr>
        <w:t>HRM 2020-22</w:t>
      </w:r>
    </w:p>
    <w:p w14:paraId="64926F7A" w14:textId="77777777" w:rsidR="005304EC" w:rsidRPr="00CE4961" w:rsidRDefault="005304EC" w:rsidP="005304EC">
      <w:pPr>
        <w:autoSpaceDE w:val="0"/>
        <w:autoSpaceDN w:val="0"/>
        <w:adjustRightInd w:val="0"/>
        <w:spacing w:after="120" w:line="240" w:lineRule="atLeast"/>
        <w:rPr>
          <w:rFonts w:ascii="Helv" w:hAnsi="Helv" w:cs="Helv"/>
          <w:sz w:val="24"/>
          <w:szCs w:val="24"/>
        </w:rPr>
      </w:pPr>
      <w:r w:rsidRPr="00CE4961">
        <w:rPr>
          <w:rFonts w:ascii="Helv" w:hAnsi="Helv" w:cs="Helv"/>
          <w:sz w:val="24"/>
          <w:szCs w:val="24"/>
        </w:rPr>
        <w:t>Course Description</w:t>
      </w:r>
    </w:p>
    <w:p w14:paraId="60CB7C47" w14:textId="77777777" w:rsidR="005304EC" w:rsidRPr="00CE4961" w:rsidRDefault="005304EC" w:rsidP="005304EC">
      <w:pPr>
        <w:autoSpaceDE w:val="0"/>
        <w:autoSpaceDN w:val="0"/>
        <w:adjustRightInd w:val="0"/>
        <w:spacing w:after="120" w:line="240" w:lineRule="atLeast"/>
        <w:rPr>
          <w:rFonts w:ascii="Helv" w:hAnsi="Helv" w:cs="Helv"/>
          <w:sz w:val="20"/>
          <w:szCs w:val="20"/>
        </w:rPr>
      </w:pPr>
      <w:r w:rsidRPr="00CE4961">
        <w:rPr>
          <w:rFonts w:ascii="Helv" w:hAnsi="Helv" w:cs="Helv"/>
          <w:sz w:val="20"/>
          <w:szCs w:val="20"/>
        </w:rPr>
        <w:t xml:space="preserve">An effective sales force is a critical component of any customer facing organization. A sales force is a complex system, making it a challenge to create, develop and lead. Appropriate responses </w:t>
      </w:r>
      <w:proofErr w:type="gramStart"/>
      <w:r w:rsidRPr="00CE4961">
        <w:rPr>
          <w:rFonts w:ascii="Helv" w:hAnsi="Helv" w:cs="Helv"/>
          <w:sz w:val="20"/>
          <w:szCs w:val="20"/>
        </w:rPr>
        <w:t>have to</w:t>
      </w:r>
      <w:proofErr w:type="gramEnd"/>
      <w:r w:rsidRPr="00CE4961">
        <w:rPr>
          <w:rFonts w:ascii="Helv" w:hAnsi="Helv" w:cs="Helv"/>
          <w:sz w:val="20"/>
          <w:szCs w:val="20"/>
        </w:rPr>
        <w:t xml:space="preserve"> be crafted to continuous changes within organizations, markets and the overall operating environment. Relevant processes </w:t>
      </w:r>
      <w:proofErr w:type="gramStart"/>
      <w:r w:rsidRPr="00CE4961">
        <w:rPr>
          <w:rFonts w:ascii="Helv" w:hAnsi="Helv" w:cs="Helv"/>
          <w:sz w:val="20"/>
          <w:szCs w:val="20"/>
        </w:rPr>
        <w:t>have to</w:t>
      </w:r>
      <w:proofErr w:type="gramEnd"/>
      <w:r w:rsidRPr="00CE4961">
        <w:rPr>
          <w:rFonts w:ascii="Helv" w:hAnsi="Helv" w:cs="Helv"/>
          <w:sz w:val="20"/>
          <w:szCs w:val="20"/>
        </w:rPr>
        <w:t xml:space="preserve"> be developed to improve the sales force which in turn will have large implications on organizational profitability. The course seeks to sharpen the skills of human resource management professionals in understanding, appreciating, </w:t>
      </w:r>
      <w:proofErr w:type="gramStart"/>
      <w:r w:rsidRPr="00CE4961">
        <w:rPr>
          <w:rFonts w:ascii="Helv" w:hAnsi="Helv" w:cs="Helv"/>
          <w:sz w:val="20"/>
          <w:szCs w:val="20"/>
        </w:rPr>
        <w:t>nurturing</w:t>
      </w:r>
      <w:proofErr w:type="gramEnd"/>
      <w:r w:rsidRPr="00CE4961">
        <w:rPr>
          <w:rFonts w:ascii="Helv" w:hAnsi="Helv" w:cs="Helv"/>
          <w:sz w:val="20"/>
          <w:szCs w:val="20"/>
        </w:rPr>
        <w:t xml:space="preserve"> and managing this organizational function and its people.</w:t>
      </w:r>
    </w:p>
    <w:p w14:paraId="796B8B47" w14:textId="77777777" w:rsidR="005304EC" w:rsidRPr="00CE4961" w:rsidRDefault="005304EC" w:rsidP="005304EC">
      <w:pPr>
        <w:autoSpaceDE w:val="0"/>
        <w:autoSpaceDN w:val="0"/>
        <w:adjustRightInd w:val="0"/>
        <w:spacing w:after="120" w:line="240" w:lineRule="atLeast"/>
        <w:rPr>
          <w:rFonts w:ascii="Helv" w:hAnsi="Helv" w:cs="Helv"/>
          <w:sz w:val="24"/>
          <w:szCs w:val="24"/>
        </w:rPr>
      </w:pPr>
      <w:r w:rsidRPr="00CE4961">
        <w:rPr>
          <w:rFonts w:ascii="Helv" w:hAnsi="Helv" w:cs="Helv"/>
          <w:sz w:val="24"/>
          <w:szCs w:val="24"/>
        </w:rPr>
        <w:t>Learning Outcomes</w:t>
      </w:r>
    </w:p>
    <w:p w14:paraId="2DCB1AAE" w14:textId="77777777" w:rsidR="005304EC" w:rsidRPr="00CE4961" w:rsidRDefault="005304EC" w:rsidP="005304EC">
      <w:pPr>
        <w:autoSpaceDE w:val="0"/>
        <w:autoSpaceDN w:val="0"/>
        <w:adjustRightInd w:val="0"/>
        <w:spacing w:after="120" w:line="240" w:lineRule="atLeast"/>
        <w:rPr>
          <w:rFonts w:ascii="Helv" w:hAnsi="Helv" w:cs="Helv"/>
          <w:sz w:val="20"/>
          <w:szCs w:val="20"/>
        </w:rPr>
      </w:pPr>
      <w:r w:rsidRPr="00CE4961">
        <w:rPr>
          <w:rFonts w:ascii="Helv" w:hAnsi="Helv" w:cs="Helv"/>
          <w:sz w:val="20"/>
          <w:szCs w:val="20"/>
        </w:rPr>
        <w:t xml:space="preserve">After going through the </w:t>
      </w:r>
      <w:proofErr w:type="gramStart"/>
      <w:r w:rsidRPr="00CE4961">
        <w:rPr>
          <w:rFonts w:ascii="Helv" w:hAnsi="Helv" w:cs="Helv"/>
          <w:sz w:val="20"/>
          <w:szCs w:val="20"/>
        </w:rPr>
        <w:t>course</w:t>
      </w:r>
      <w:proofErr w:type="gramEnd"/>
      <w:r w:rsidRPr="00CE4961">
        <w:rPr>
          <w:rFonts w:ascii="Helv" w:hAnsi="Helv" w:cs="Helv"/>
          <w:sz w:val="20"/>
          <w:szCs w:val="20"/>
        </w:rPr>
        <w:t xml:space="preserve"> the student should be able to </w:t>
      </w:r>
    </w:p>
    <w:p w14:paraId="63CB50A9" w14:textId="77777777" w:rsidR="005304EC" w:rsidRPr="00CE4961" w:rsidRDefault="005304EC" w:rsidP="005304EC">
      <w:pPr>
        <w:autoSpaceDE w:val="0"/>
        <w:autoSpaceDN w:val="0"/>
        <w:adjustRightInd w:val="0"/>
        <w:spacing w:after="120" w:line="240" w:lineRule="atLeast"/>
        <w:ind w:left="360"/>
        <w:rPr>
          <w:rFonts w:ascii="Helv" w:hAnsi="Helv" w:cs="Helv"/>
          <w:sz w:val="20"/>
          <w:szCs w:val="20"/>
        </w:rPr>
      </w:pPr>
      <w:r w:rsidRPr="00CE4961">
        <w:rPr>
          <w:rFonts w:ascii="Helv" w:hAnsi="Helv" w:cs="Helv"/>
          <w:sz w:val="20"/>
          <w:szCs w:val="20"/>
        </w:rPr>
        <w:t>To understand the links between organizational goals and the role of a sales force</w:t>
      </w:r>
    </w:p>
    <w:p w14:paraId="09E2603B" w14:textId="77777777" w:rsidR="005304EC" w:rsidRPr="00CE4961" w:rsidRDefault="005304EC" w:rsidP="005304EC">
      <w:pPr>
        <w:autoSpaceDE w:val="0"/>
        <w:autoSpaceDN w:val="0"/>
        <w:adjustRightInd w:val="0"/>
        <w:spacing w:after="120" w:line="240" w:lineRule="atLeast"/>
        <w:ind w:left="360"/>
        <w:rPr>
          <w:rFonts w:ascii="Helv" w:hAnsi="Helv" w:cs="Helv"/>
          <w:sz w:val="20"/>
          <w:szCs w:val="20"/>
        </w:rPr>
      </w:pPr>
      <w:r w:rsidRPr="00CE4961">
        <w:rPr>
          <w:rFonts w:ascii="Helv" w:hAnsi="Helv" w:cs="Helv"/>
          <w:sz w:val="20"/>
          <w:szCs w:val="20"/>
        </w:rPr>
        <w:t>To understand the process of sizing and structuring a sales force within an organization</w:t>
      </w:r>
    </w:p>
    <w:p w14:paraId="4C925C13" w14:textId="77777777" w:rsidR="005304EC" w:rsidRPr="00CE4961" w:rsidRDefault="005304EC" w:rsidP="005304EC">
      <w:pPr>
        <w:autoSpaceDE w:val="0"/>
        <w:autoSpaceDN w:val="0"/>
        <w:adjustRightInd w:val="0"/>
        <w:spacing w:after="120" w:line="240" w:lineRule="atLeast"/>
        <w:ind w:left="360"/>
        <w:rPr>
          <w:rFonts w:ascii="Helv" w:hAnsi="Helv" w:cs="Helv"/>
          <w:sz w:val="20"/>
          <w:szCs w:val="20"/>
        </w:rPr>
      </w:pPr>
      <w:r w:rsidRPr="00CE4961">
        <w:rPr>
          <w:rFonts w:ascii="Helv" w:hAnsi="Helv" w:cs="Helv"/>
          <w:sz w:val="20"/>
          <w:szCs w:val="20"/>
        </w:rPr>
        <w:t xml:space="preserve">To appreciate the control mechanisms that exist to stimulate, motivate and reward </w:t>
      </w:r>
      <w:proofErr w:type="gramStart"/>
      <w:r w:rsidRPr="00CE4961">
        <w:rPr>
          <w:rFonts w:ascii="Helv" w:hAnsi="Helv" w:cs="Helv"/>
          <w:sz w:val="20"/>
          <w:szCs w:val="20"/>
        </w:rPr>
        <w:t>performance</w:t>
      </w:r>
      <w:proofErr w:type="gramEnd"/>
    </w:p>
    <w:p w14:paraId="25E317ED" w14:textId="77777777" w:rsidR="005304EC" w:rsidRPr="00CE4961" w:rsidRDefault="005304EC" w:rsidP="005304EC">
      <w:pPr>
        <w:autoSpaceDE w:val="0"/>
        <w:autoSpaceDN w:val="0"/>
        <w:adjustRightInd w:val="0"/>
        <w:spacing w:after="240" w:line="240" w:lineRule="atLeast"/>
        <w:ind w:left="360"/>
        <w:rPr>
          <w:rFonts w:ascii="Helv" w:hAnsi="Helv" w:cs="Helv"/>
          <w:sz w:val="20"/>
          <w:szCs w:val="20"/>
        </w:rPr>
      </w:pPr>
      <w:r w:rsidRPr="00CE4961">
        <w:rPr>
          <w:rFonts w:ascii="Helv" w:hAnsi="Helv" w:cs="Helv"/>
          <w:sz w:val="20"/>
          <w:szCs w:val="20"/>
        </w:rPr>
        <w:t xml:space="preserve">To examine mechanisms that leverage information to make continuous improvements in the sales </w:t>
      </w:r>
      <w:proofErr w:type="gramStart"/>
      <w:r w:rsidRPr="00CE4961">
        <w:rPr>
          <w:rFonts w:ascii="Helv" w:hAnsi="Helv" w:cs="Helv"/>
          <w:sz w:val="20"/>
          <w:szCs w:val="20"/>
        </w:rPr>
        <w:t>force</w:t>
      </w:r>
      <w:proofErr w:type="gramEnd"/>
    </w:p>
    <w:p w14:paraId="14199C78" w14:textId="77777777" w:rsidR="005304EC" w:rsidRPr="00CE4961" w:rsidRDefault="005304EC" w:rsidP="005304EC">
      <w:pPr>
        <w:autoSpaceDE w:val="0"/>
        <w:autoSpaceDN w:val="0"/>
        <w:adjustRightInd w:val="0"/>
        <w:spacing w:after="240" w:line="240" w:lineRule="atLeast"/>
        <w:ind w:left="360"/>
        <w:rPr>
          <w:rFonts w:ascii="Helv" w:hAnsi="Helv" w:cs="Helv"/>
          <w:sz w:val="20"/>
          <w:szCs w:val="20"/>
        </w:rPr>
      </w:pPr>
      <w:r w:rsidRPr="00CE4961">
        <w:rPr>
          <w:rFonts w:ascii="Helv" w:hAnsi="Helv" w:cs="Helv"/>
          <w:sz w:val="20"/>
          <w:szCs w:val="20"/>
        </w:rPr>
        <w:t xml:space="preserve">To understand the HR linkages that are necessary to appreciate when selecting, recruiting, training and developing </w:t>
      </w:r>
      <w:proofErr w:type="gramStart"/>
      <w:r w:rsidRPr="00CE4961">
        <w:rPr>
          <w:rFonts w:ascii="Helv" w:hAnsi="Helv" w:cs="Helv"/>
          <w:sz w:val="20"/>
          <w:szCs w:val="20"/>
        </w:rPr>
        <w:t>sales people</w:t>
      </w:r>
      <w:proofErr w:type="gramEnd"/>
      <w:r w:rsidRPr="00CE4961">
        <w:rPr>
          <w:rFonts w:ascii="Helv" w:hAnsi="Helv" w:cs="Helv"/>
          <w:sz w:val="20"/>
          <w:szCs w:val="20"/>
        </w:rPr>
        <w:t xml:space="preserve">. </w:t>
      </w:r>
    </w:p>
    <w:p w14:paraId="35945201" w14:textId="77777777" w:rsidR="005304EC" w:rsidRPr="00CE4961" w:rsidRDefault="005304EC" w:rsidP="005304EC">
      <w:pPr>
        <w:autoSpaceDE w:val="0"/>
        <w:autoSpaceDN w:val="0"/>
        <w:adjustRightInd w:val="0"/>
        <w:spacing w:after="240" w:line="240" w:lineRule="atLeast"/>
        <w:rPr>
          <w:rFonts w:ascii="Helv" w:hAnsi="Helv" w:cs="Helv"/>
          <w:sz w:val="24"/>
          <w:szCs w:val="24"/>
        </w:rPr>
      </w:pPr>
      <w:r w:rsidRPr="00CE4961">
        <w:rPr>
          <w:rFonts w:ascii="Helv" w:hAnsi="Helv" w:cs="Helv"/>
          <w:sz w:val="24"/>
          <w:szCs w:val="24"/>
        </w:rPr>
        <w:t xml:space="preserve">Methodology </w:t>
      </w:r>
    </w:p>
    <w:p w14:paraId="161AC2DD" w14:textId="77777777" w:rsidR="005304EC" w:rsidRPr="00CE4961" w:rsidRDefault="005304EC" w:rsidP="005304EC">
      <w:pPr>
        <w:autoSpaceDE w:val="0"/>
        <w:autoSpaceDN w:val="0"/>
        <w:adjustRightInd w:val="0"/>
        <w:spacing w:after="240" w:line="240" w:lineRule="atLeast"/>
        <w:rPr>
          <w:rFonts w:ascii="Helv" w:hAnsi="Helv" w:cs="Helv"/>
          <w:sz w:val="20"/>
          <w:szCs w:val="20"/>
        </w:rPr>
      </w:pPr>
      <w:r w:rsidRPr="00CE4961">
        <w:rPr>
          <w:rFonts w:ascii="Helv" w:hAnsi="Helv" w:cs="Helv"/>
          <w:sz w:val="20"/>
          <w:szCs w:val="20"/>
        </w:rPr>
        <w:t xml:space="preserve">The course pedagogy would be </w:t>
      </w:r>
      <w:proofErr w:type="gramStart"/>
      <w:r w:rsidRPr="00CE4961">
        <w:rPr>
          <w:rFonts w:ascii="Helv" w:hAnsi="Helv" w:cs="Helv"/>
          <w:sz w:val="20"/>
          <w:szCs w:val="20"/>
        </w:rPr>
        <w:t>include</w:t>
      </w:r>
      <w:proofErr w:type="gramEnd"/>
      <w:r w:rsidRPr="00CE4961">
        <w:rPr>
          <w:rFonts w:ascii="Helv" w:hAnsi="Helv" w:cs="Helv"/>
          <w:sz w:val="20"/>
          <w:szCs w:val="20"/>
        </w:rPr>
        <w:t xml:space="preserve"> a combination of lectures, case discussions, role-plays and assignments</w:t>
      </w:r>
    </w:p>
    <w:p w14:paraId="1BB24B3D" w14:textId="77777777" w:rsidR="005304EC" w:rsidRPr="00CE4961" w:rsidRDefault="005304EC" w:rsidP="005304EC">
      <w:pPr>
        <w:autoSpaceDE w:val="0"/>
        <w:autoSpaceDN w:val="0"/>
        <w:adjustRightInd w:val="0"/>
        <w:spacing w:after="240" w:line="240" w:lineRule="atLeast"/>
        <w:rPr>
          <w:rFonts w:ascii="Helv" w:hAnsi="Helv" w:cs="Helv"/>
          <w:sz w:val="24"/>
          <w:szCs w:val="24"/>
        </w:rPr>
      </w:pPr>
      <w:r w:rsidRPr="00CE4961">
        <w:rPr>
          <w:rFonts w:ascii="Helv" w:hAnsi="Helv" w:cs="Helv"/>
          <w:sz w:val="24"/>
          <w:szCs w:val="24"/>
        </w:rPr>
        <w:t>Session Plan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5630"/>
        <w:gridCol w:w="5590"/>
        <w:gridCol w:w="5590"/>
      </w:tblGrid>
      <w:tr w:rsidR="00CE4961" w:rsidRPr="00CE4961" w14:paraId="6CD9BA50" w14:textId="77777777" w:rsidTr="00CE4961">
        <w:tc>
          <w:tcPr>
            <w:tcW w:w="5630" w:type="dxa"/>
          </w:tcPr>
          <w:p w14:paraId="21FD2A6B"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sz w:val="20"/>
                <w:szCs w:val="20"/>
              </w:rPr>
              <w:lastRenderedPageBreak/>
              <w:t>Sessions</w:t>
            </w:r>
          </w:p>
        </w:tc>
        <w:tc>
          <w:tcPr>
            <w:tcW w:w="5590" w:type="dxa"/>
          </w:tcPr>
          <w:p w14:paraId="08511AC0"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sz w:val="20"/>
                <w:szCs w:val="20"/>
              </w:rPr>
              <w:t>Topics</w:t>
            </w:r>
          </w:p>
        </w:tc>
        <w:tc>
          <w:tcPr>
            <w:tcW w:w="5590" w:type="dxa"/>
          </w:tcPr>
          <w:p w14:paraId="2A7BDCFE"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sz w:val="20"/>
                <w:szCs w:val="20"/>
              </w:rPr>
              <w:t>Resource</w:t>
            </w:r>
          </w:p>
        </w:tc>
      </w:tr>
      <w:tr w:rsidR="00CE4961" w:rsidRPr="00CE4961" w14:paraId="00A2F33E" w14:textId="77777777" w:rsidTr="00CE4961">
        <w:tc>
          <w:tcPr>
            <w:tcW w:w="5630" w:type="dxa"/>
          </w:tcPr>
          <w:p w14:paraId="77CD782F"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sz w:val="20"/>
                <w:szCs w:val="20"/>
              </w:rPr>
              <w:t>1</w:t>
            </w:r>
          </w:p>
        </w:tc>
        <w:tc>
          <w:tcPr>
            <w:tcW w:w="5590" w:type="dxa"/>
          </w:tcPr>
          <w:p w14:paraId="20889D49"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sz w:val="20"/>
                <w:szCs w:val="20"/>
              </w:rPr>
              <w:t>Introduction to Sales Force Management</w:t>
            </w:r>
          </w:p>
        </w:tc>
        <w:tc>
          <w:tcPr>
            <w:tcW w:w="5590" w:type="dxa"/>
          </w:tcPr>
          <w:p w14:paraId="3406B6E3"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noProof/>
                <w:sz w:val="20"/>
                <w:szCs w:val="20"/>
              </w:rPr>
              <w:drawing>
                <wp:inline distT="0" distB="0" distL="0" distR="0" wp14:anchorId="518421CF" wp14:editId="5511E135">
                  <wp:extent cx="1257300" cy="447675"/>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57300" cy="447675"/>
                          </a:xfrm>
                          <a:prstGeom prst="rect">
                            <a:avLst/>
                          </a:prstGeom>
                          <a:noFill/>
                          <a:ln>
                            <a:noFill/>
                          </a:ln>
                        </pic:spPr>
                      </pic:pic>
                    </a:graphicData>
                  </a:graphic>
                </wp:inline>
              </w:drawing>
            </w:r>
          </w:p>
        </w:tc>
      </w:tr>
      <w:tr w:rsidR="00CE4961" w:rsidRPr="00CE4961" w14:paraId="2CF78C61" w14:textId="77777777" w:rsidTr="00CE4961">
        <w:tc>
          <w:tcPr>
            <w:tcW w:w="5630" w:type="dxa"/>
          </w:tcPr>
          <w:p w14:paraId="065A3DA9"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sz w:val="20"/>
                <w:szCs w:val="20"/>
              </w:rPr>
              <w:t>2,</w:t>
            </w:r>
          </w:p>
        </w:tc>
        <w:tc>
          <w:tcPr>
            <w:tcW w:w="5590" w:type="dxa"/>
          </w:tcPr>
          <w:p w14:paraId="4EFC2F59"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sz w:val="20"/>
                <w:szCs w:val="20"/>
              </w:rPr>
              <w:t>Essentials of Personal selling</w:t>
            </w:r>
          </w:p>
        </w:tc>
        <w:tc>
          <w:tcPr>
            <w:tcW w:w="5590" w:type="dxa"/>
          </w:tcPr>
          <w:p w14:paraId="3BB13C16"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noProof/>
                <w:sz w:val="20"/>
                <w:szCs w:val="20"/>
              </w:rPr>
              <w:drawing>
                <wp:inline distT="0" distB="0" distL="0" distR="0" wp14:anchorId="29F99462" wp14:editId="66BE3D2E">
                  <wp:extent cx="1085850" cy="44767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85850" cy="447675"/>
                          </a:xfrm>
                          <a:prstGeom prst="rect">
                            <a:avLst/>
                          </a:prstGeom>
                          <a:noFill/>
                          <a:ln>
                            <a:noFill/>
                          </a:ln>
                        </pic:spPr>
                      </pic:pic>
                    </a:graphicData>
                  </a:graphic>
                </wp:inline>
              </w:drawing>
            </w:r>
          </w:p>
          <w:p w14:paraId="195AEEE9" w14:textId="77777777" w:rsidR="005304EC" w:rsidRPr="00CE4961" w:rsidRDefault="005304EC">
            <w:pPr>
              <w:keepNext/>
              <w:keepLines/>
              <w:autoSpaceDE w:val="0"/>
              <w:autoSpaceDN w:val="0"/>
              <w:adjustRightInd w:val="0"/>
              <w:spacing w:after="120" w:line="240" w:lineRule="atLeast"/>
              <w:ind w:left="15"/>
              <w:rPr>
                <w:rFonts w:ascii="Helv" w:hAnsi="Helv" w:cs="Helv"/>
                <w:sz w:val="20"/>
                <w:szCs w:val="20"/>
              </w:rPr>
            </w:pPr>
          </w:p>
          <w:p w14:paraId="508C2F18" w14:textId="77777777" w:rsidR="005304EC" w:rsidRPr="00CE4961" w:rsidRDefault="005304EC">
            <w:pPr>
              <w:keepNext/>
              <w:keepLines/>
              <w:autoSpaceDE w:val="0"/>
              <w:autoSpaceDN w:val="0"/>
              <w:adjustRightInd w:val="0"/>
              <w:spacing w:after="120" w:line="240" w:lineRule="atLeast"/>
              <w:ind w:left="15"/>
              <w:rPr>
                <w:rFonts w:ascii="Helv" w:hAnsi="Helv" w:cs="Helv"/>
                <w:sz w:val="20"/>
                <w:szCs w:val="20"/>
              </w:rPr>
            </w:pPr>
          </w:p>
        </w:tc>
      </w:tr>
      <w:tr w:rsidR="00CE4961" w:rsidRPr="00CE4961" w14:paraId="29B17006" w14:textId="77777777" w:rsidTr="00CE4961">
        <w:tc>
          <w:tcPr>
            <w:tcW w:w="5630" w:type="dxa"/>
          </w:tcPr>
          <w:p w14:paraId="2FD124DB"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sz w:val="20"/>
                <w:szCs w:val="20"/>
              </w:rPr>
              <w:t>3,4</w:t>
            </w:r>
          </w:p>
        </w:tc>
        <w:tc>
          <w:tcPr>
            <w:tcW w:w="5590" w:type="dxa"/>
          </w:tcPr>
          <w:p w14:paraId="057FA135"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sz w:val="20"/>
                <w:szCs w:val="20"/>
              </w:rPr>
              <w:t>The Art of Persuasion</w:t>
            </w:r>
          </w:p>
        </w:tc>
        <w:tc>
          <w:tcPr>
            <w:tcW w:w="5590" w:type="dxa"/>
          </w:tcPr>
          <w:p w14:paraId="0C5811D9"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noProof/>
                <w:sz w:val="20"/>
                <w:szCs w:val="20"/>
              </w:rPr>
              <w:drawing>
                <wp:inline distT="0" distB="0" distL="0" distR="0" wp14:anchorId="2B3DF5CA" wp14:editId="030B0554">
                  <wp:extent cx="1343025" cy="44767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43025" cy="447675"/>
                          </a:xfrm>
                          <a:prstGeom prst="rect">
                            <a:avLst/>
                          </a:prstGeom>
                          <a:noFill/>
                          <a:ln>
                            <a:noFill/>
                          </a:ln>
                        </pic:spPr>
                      </pic:pic>
                    </a:graphicData>
                  </a:graphic>
                </wp:inline>
              </w:drawing>
            </w:r>
          </w:p>
        </w:tc>
      </w:tr>
      <w:tr w:rsidR="00CE4961" w:rsidRPr="00CE4961" w14:paraId="77231AF5" w14:textId="77777777" w:rsidTr="00CE4961">
        <w:tc>
          <w:tcPr>
            <w:tcW w:w="5630" w:type="dxa"/>
          </w:tcPr>
          <w:p w14:paraId="172366E1"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sz w:val="20"/>
                <w:szCs w:val="20"/>
              </w:rPr>
              <w:t>5,6</w:t>
            </w:r>
          </w:p>
        </w:tc>
        <w:tc>
          <w:tcPr>
            <w:tcW w:w="5590" w:type="dxa"/>
          </w:tcPr>
          <w:p w14:paraId="442E9144"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sz w:val="20"/>
                <w:szCs w:val="20"/>
              </w:rPr>
              <w:t>The Sales Process</w:t>
            </w:r>
          </w:p>
        </w:tc>
        <w:tc>
          <w:tcPr>
            <w:tcW w:w="5590" w:type="dxa"/>
          </w:tcPr>
          <w:p w14:paraId="4987BB23"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noProof/>
                <w:sz w:val="20"/>
                <w:szCs w:val="20"/>
              </w:rPr>
              <w:drawing>
                <wp:inline distT="0" distB="0" distL="0" distR="0" wp14:anchorId="58D80ACE" wp14:editId="73236FE1">
                  <wp:extent cx="1266825" cy="44767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66825" cy="447675"/>
                          </a:xfrm>
                          <a:prstGeom prst="rect">
                            <a:avLst/>
                          </a:prstGeom>
                          <a:noFill/>
                          <a:ln>
                            <a:noFill/>
                          </a:ln>
                        </pic:spPr>
                      </pic:pic>
                    </a:graphicData>
                  </a:graphic>
                </wp:inline>
              </w:drawing>
            </w:r>
          </w:p>
        </w:tc>
      </w:tr>
      <w:tr w:rsidR="00CE4961" w:rsidRPr="00CE4961" w14:paraId="27B7EA17" w14:textId="77777777" w:rsidTr="00CE4961">
        <w:tc>
          <w:tcPr>
            <w:tcW w:w="5630" w:type="dxa"/>
          </w:tcPr>
          <w:p w14:paraId="18CE22C4"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sz w:val="20"/>
                <w:szCs w:val="20"/>
              </w:rPr>
              <w:t>7</w:t>
            </w:r>
          </w:p>
        </w:tc>
        <w:tc>
          <w:tcPr>
            <w:tcW w:w="5590" w:type="dxa"/>
          </w:tcPr>
          <w:p w14:paraId="37187320"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sz w:val="20"/>
                <w:szCs w:val="20"/>
              </w:rPr>
              <w:t>Key Account Management</w:t>
            </w:r>
          </w:p>
        </w:tc>
        <w:tc>
          <w:tcPr>
            <w:tcW w:w="5590" w:type="dxa"/>
          </w:tcPr>
          <w:p w14:paraId="400555C3"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noProof/>
                <w:sz w:val="20"/>
                <w:szCs w:val="20"/>
              </w:rPr>
              <w:drawing>
                <wp:inline distT="0" distB="0" distL="0" distR="0" wp14:anchorId="318802ED" wp14:editId="49E4FF0F">
                  <wp:extent cx="1571625" cy="44767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71625" cy="447675"/>
                          </a:xfrm>
                          <a:prstGeom prst="rect">
                            <a:avLst/>
                          </a:prstGeom>
                          <a:noFill/>
                          <a:ln>
                            <a:noFill/>
                          </a:ln>
                        </pic:spPr>
                      </pic:pic>
                    </a:graphicData>
                  </a:graphic>
                </wp:inline>
              </w:drawing>
            </w:r>
          </w:p>
        </w:tc>
      </w:tr>
      <w:tr w:rsidR="00CE4961" w:rsidRPr="00CE4961" w14:paraId="5CE19285" w14:textId="77777777" w:rsidTr="00CE4961">
        <w:tc>
          <w:tcPr>
            <w:tcW w:w="5630" w:type="dxa"/>
          </w:tcPr>
          <w:p w14:paraId="559C3C6F"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sz w:val="20"/>
                <w:szCs w:val="20"/>
              </w:rPr>
              <w:t>8</w:t>
            </w:r>
          </w:p>
        </w:tc>
        <w:tc>
          <w:tcPr>
            <w:tcW w:w="5590" w:type="dxa"/>
          </w:tcPr>
          <w:p w14:paraId="65C7647C"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sz w:val="20"/>
                <w:szCs w:val="20"/>
              </w:rPr>
              <w:t>Territory Management and Control</w:t>
            </w:r>
          </w:p>
        </w:tc>
        <w:tc>
          <w:tcPr>
            <w:tcW w:w="5590" w:type="dxa"/>
          </w:tcPr>
          <w:p w14:paraId="2D66D40C"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noProof/>
                <w:sz w:val="20"/>
                <w:szCs w:val="20"/>
              </w:rPr>
              <w:drawing>
                <wp:inline distT="0" distB="0" distL="0" distR="0" wp14:anchorId="7119CECB" wp14:editId="061F349D">
                  <wp:extent cx="1876425" cy="44767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76425" cy="447675"/>
                          </a:xfrm>
                          <a:prstGeom prst="rect">
                            <a:avLst/>
                          </a:prstGeom>
                          <a:noFill/>
                          <a:ln>
                            <a:noFill/>
                          </a:ln>
                        </pic:spPr>
                      </pic:pic>
                    </a:graphicData>
                  </a:graphic>
                </wp:inline>
              </w:drawing>
            </w:r>
          </w:p>
        </w:tc>
      </w:tr>
      <w:tr w:rsidR="00CE4961" w:rsidRPr="00CE4961" w14:paraId="3960EEBC" w14:textId="77777777" w:rsidTr="00CE4961">
        <w:tc>
          <w:tcPr>
            <w:tcW w:w="5630" w:type="dxa"/>
          </w:tcPr>
          <w:p w14:paraId="54BEE111"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sz w:val="20"/>
                <w:szCs w:val="20"/>
              </w:rPr>
              <w:t>9</w:t>
            </w:r>
          </w:p>
        </w:tc>
        <w:tc>
          <w:tcPr>
            <w:tcW w:w="5590" w:type="dxa"/>
          </w:tcPr>
          <w:p w14:paraId="39CD2078"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sz w:val="20"/>
                <w:szCs w:val="20"/>
              </w:rPr>
              <w:t>The Sales Organization</w:t>
            </w:r>
          </w:p>
        </w:tc>
        <w:tc>
          <w:tcPr>
            <w:tcW w:w="5590" w:type="dxa"/>
          </w:tcPr>
          <w:p w14:paraId="0D636687"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noProof/>
                <w:sz w:val="20"/>
                <w:szCs w:val="20"/>
              </w:rPr>
              <w:drawing>
                <wp:inline distT="0" distB="0" distL="0" distR="0" wp14:anchorId="7632300B" wp14:editId="7E69FAFF">
                  <wp:extent cx="1419225" cy="44767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19225" cy="447675"/>
                          </a:xfrm>
                          <a:prstGeom prst="rect">
                            <a:avLst/>
                          </a:prstGeom>
                          <a:noFill/>
                          <a:ln>
                            <a:noFill/>
                          </a:ln>
                        </pic:spPr>
                      </pic:pic>
                    </a:graphicData>
                  </a:graphic>
                </wp:inline>
              </w:drawing>
            </w:r>
          </w:p>
        </w:tc>
      </w:tr>
      <w:tr w:rsidR="00CE4961" w:rsidRPr="00CE4961" w14:paraId="05A12E63" w14:textId="77777777" w:rsidTr="00CE4961">
        <w:tc>
          <w:tcPr>
            <w:tcW w:w="5630" w:type="dxa"/>
          </w:tcPr>
          <w:p w14:paraId="56B363C8"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sz w:val="20"/>
                <w:szCs w:val="20"/>
              </w:rPr>
              <w:t>10</w:t>
            </w:r>
          </w:p>
        </w:tc>
        <w:tc>
          <w:tcPr>
            <w:tcW w:w="5590" w:type="dxa"/>
          </w:tcPr>
          <w:p w14:paraId="3B07E66B"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sz w:val="20"/>
                <w:szCs w:val="20"/>
              </w:rPr>
              <w:t>Strategic Impact of the Selling Function</w:t>
            </w:r>
          </w:p>
        </w:tc>
        <w:tc>
          <w:tcPr>
            <w:tcW w:w="5590" w:type="dxa"/>
          </w:tcPr>
          <w:p w14:paraId="391F6CE4"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noProof/>
                <w:sz w:val="20"/>
                <w:szCs w:val="20"/>
              </w:rPr>
              <w:drawing>
                <wp:inline distT="0" distB="0" distL="0" distR="0" wp14:anchorId="42CF0325" wp14:editId="1AB87BAF">
                  <wp:extent cx="2133600" cy="44767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33600" cy="447675"/>
                          </a:xfrm>
                          <a:prstGeom prst="rect">
                            <a:avLst/>
                          </a:prstGeom>
                          <a:noFill/>
                          <a:ln>
                            <a:noFill/>
                          </a:ln>
                        </pic:spPr>
                      </pic:pic>
                    </a:graphicData>
                  </a:graphic>
                </wp:inline>
              </w:drawing>
            </w:r>
          </w:p>
        </w:tc>
      </w:tr>
      <w:tr w:rsidR="00CE4961" w:rsidRPr="00CE4961" w14:paraId="3B91A145" w14:textId="77777777" w:rsidTr="00CE4961">
        <w:tc>
          <w:tcPr>
            <w:tcW w:w="5630" w:type="dxa"/>
          </w:tcPr>
          <w:p w14:paraId="137D515A"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sz w:val="20"/>
                <w:szCs w:val="20"/>
              </w:rPr>
              <w:t>11, 12</w:t>
            </w:r>
          </w:p>
        </w:tc>
        <w:tc>
          <w:tcPr>
            <w:tcW w:w="5590" w:type="dxa"/>
          </w:tcPr>
          <w:p w14:paraId="49A6A4D0"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sz w:val="20"/>
                <w:szCs w:val="20"/>
              </w:rPr>
              <w:t>Sales Forecasting</w:t>
            </w:r>
          </w:p>
        </w:tc>
        <w:tc>
          <w:tcPr>
            <w:tcW w:w="5590" w:type="dxa"/>
          </w:tcPr>
          <w:p w14:paraId="190DA578"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noProof/>
                <w:sz w:val="20"/>
                <w:szCs w:val="20"/>
              </w:rPr>
              <w:drawing>
                <wp:inline distT="0" distB="0" distL="0" distR="0" wp14:anchorId="326DA8DD" wp14:editId="33F3FA48">
                  <wp:extent cx="1171575" cy="44767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71575" cy="447675"/>
                          </a:xfrm>
                          <a:prstGeom prst="rect">
                            <a:avLst/>
                          </a:prstGeom>
                          <a:noFill/>
                          <a:ln>
                            <a:noFill/>
                          </a:ln>
                        </pic:spPr>
                      </pic:pic>
                    </a:graphicData>
                  </a:graphic>
                </wp:inline>
              </w:drawing>
            </w:r>
          </w:p>
        </w:tc>
      </w:tr>
      <w:tr w:rsidR="00CE4961" w:rsidRPr="00CE4961" w14:paraId="7EECB14B" w14:textId="77777777" w:rsidTr="00CE4961">
        <w:tc>
          <w:tcPr>
            <w:tcW w:w="5630" w:type="dxa"/>
          </w:tcPr>
          <w:p w14:paraId="5CE4A224"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sz w:val="20"/>
                <w:szCs w:val="20"/>
              </w:rPr>
              <w:t xml:space="preserve">13, </w:t>
            </w:r>
          </w:p>
        </w:tc>
        <w:tc>
          <w:tcPr>
            <w:tcW w:w="5590" w:type="dxa"/>
          </w:tcPr>
          <w:p w14:paraId="4A2D2342"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sz w:val="20"/>
                <w:szCs w:val="20"/>
              </w:rPr>
              <w:t>Recruitment and Retention of the sales force</w:t>
            </w:r>
          </w:p>
        </w:tc>
        <w:tc>
          <w:tcPr>
            <w:tcW w:w="5590" w:type="dxa"/>
          </w:tcPr>
          <w:p w14:paraId="40AE6F32"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noProof/>
                <w:sz w:val="20"/>
                <w:szCs w:val="20"/>
              </w:rPr>
              <w:drawing>
                <wp:inline distT="0" distB="0" distL="0" distR="0" wp14:anchorId="31D56763" wp14:editId="62EC0286">
                  <wp:extent cx="2428875" cy="4476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28875" cy="447675"/>
                          </a:xfrm>
                          <a:prstGeom prst="rect">
                            <a:avLst/>
                          </a:prstGeom>
                          <a:noFill/>
                          <a:ln>
                            <a:noFill/>
                          </a:ln>
                        </pic:spPr>
                      </pic:pic>
                    </a:graphicData>
                  </a:graphic>
                </wp:inline>
              </w:drawing>
            </w:r>
          </w:p>
        </w:tc>
      </w:tr>
      <w:tr w:rsidR="00CE4961" w:rsidRPr="00CE4961" w14:paraId="7A4CD04A" w14:textId="77777777" w:rsidTr="00CE4961">
        <w:tc>
          <w:tcPr>
            <w:tcW w:w="5630" w:type="dxa"/>
          </w:tcPr>
          <w:p w14:paraId="595A8C2C"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sz w:val="20"/>
                <w:szCs w:val="20"/>
              </w:rPr>
              <w:t>14</w:t>
            </w:r>
          </w:p>
        </w:tc>
        <w:tc>
          <w:tcPr>
            <w:tcW w:w="5590" w:type="dxa"/>
          </w:tcPr>
          <w:p w14:paraId="01C04CA1"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sz w:val="20"/>
                <w:szCs w:val="20"/>
              </w:rPr>
              <w:t>Motivating the sales force</w:t>
            </w:r>
          </w:p>
        </w:tc>
        <w:tc>
          <w:tcPr>
            <w:tcW w:w="5590" w:type="dxa"/>
          </w:tcPr>
          <w:p w14:paraId="49486B65"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noProof/>
                <w:sz w:val="20"/>
                <w:szCs w:val="20"/>
              </w:rPr>
              <w:drawing>
                <wp:inline distT="0" distB="0" distL="0" distR="0" wp14:anchorId="1329CC6A" wp14:editId="4593AA0B">
                  <wp:extent cx="1552575" cy="44767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52575" cy="447675"/>
                          </a:xfrm>
                          <a:prstGeom prst="rect">
                            <a:avLst/>
                          </a:prstGeom>
                          <a:noFill/>
                          <a:ln>
                            <a:noFill/>
                          </a:ln>
                        </pic:spPr>
                      </pic:pic>
                    </a:graphicData>
                  </a:graphic>
                </wp:inline>
              </w:drawing>
            </w:r>
          </w:p>
        </w:tc>
      </w:tr>
      <w:tr w:rsidR="00CE4961" w:rsidRPr="00CE4961" w14:paraId="5AF68777" w14:textId="77777777" w:rsidTr="00CE4961">
        <w:tc>
          <w:tcPr>
            <w:tcW w:w="5630" w:type="dxa"/>
          </w:tcPr>
          <w:p w14:paraId="6FDFAC7A"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sz w:val="20"/>
                <w:szCs w:val="20"/>
              </w:rPr>
              <w:lastRenderedPageBreak/>
              <w:t xml:space="preserve">15, 16, </w:t>
            </w:r>
          </w:p>
        </w:tc>
        <w:tc>
          <w:tcPr>
            <w:tcW w:w="5590" w:type="dxa"/>
          </w:tcPr>
          <w:p w14:paraId="72E8BF6D"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sz w:val="20"/>
                <w:szCs w:val="20"/>
              </w:rPr>
              <w:t>Sales Force Training</w:t>
            </w:r>
          </w:p>
        </w:tc>
        <w:tc>
          <w:tcPr>
            <w:tcW w:w="5590" w:type="dxa"/>
          </w:tcPr>
          <w:p w14:paraId="6604A338"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noProof/>
                <w:sz w:val="20"/>
                <w:szCs w:val="20"/>
              </w:rPr>
              <w:drawing>
                <wp:inline distT="0" distB="0" distL="0" distR="0" wp14:anchorId="4CEF2FED" wp14:editId="0F0E7F54">
                  <wp:extent cx="1304925" cy="4476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304925" cy="447675"/>
                          </a:xfrm>
                          <a:prstGeom prst="rect">
                            <a:avLst/>
                          </a:prstGeom>
                          <a:noFill/>
                          <a:ln>
                            <a:noFill/>
                          </a:ln>
                        </pic:spPr>
                      </pic:pic>
                    </a:graphicData>
                  </a:graphic>
                </wp:inline>
              </w:drawing>
            </w:r>
          </w:p>
        </w:tc>
      </w:tr>
      <w:tr w:rsidR="00CE4961" w:rsidRPr="00CE4961" w14:paraId="035D291C" w14:textId="77777777" w:rsidTr="00CE4961">
        <w:tc>
          <w:tcPr>
            <w:tcW w:w="5630" w:type="dxa"/>
          </w:tcPr>
          <w:p w14:paraId="3EB7BE31"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sz w:val="20"/>
                <w:szCs w:val="20"/>
              </w:rPr>
              <w:t xml:space="preserve">17, 18, </w:t>
            </w:r>
          </w:p>
        </w:tc>
        <w:tc>
          <w:tcPr>
            <w:tcW w:w="5590" w:type="dxa"/>
          </w:tcPr>
          <w:p w14:paraId="2A082F1A"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sz w:val="20"/>
                <w:szCs w:val="20"/>
              </w:rPr>
              <w:t>Sales Force Performance Management</w:t>
            </w:r>
          </w:p>
        </w:tc>
        <w:tc>
          <w:tcPr>
            <w:tcW w:w="5590" w:type="dxa"/>
          </w:tcPr>
          <w:p w14:paraId="1703AEFF"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noProof/>
                <w:sz w:val="20"/>
                <w:szCs w:val="20"/>
              </w:rPr>
              <w:drawing>
                <wp:inline distT="0" distB="0" distL="0" distR="0" wp14:anchorId="3A376008" wp14:editId="796BD451">
                  <wp:extent cx="2124075" cy="44767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24075" cy="447675"/>
                          </a:xfrm>
                          <a:prstGeom prst="rect">
                            <a:avLst/>
                          </a:prstGeom>
                          <a:noFill/>
                          <a:ln>
                            <a:noFill/>
                          </a:ln>
                        </pic:spPr>
                      </pic:pic>
                    </a:graphicData>
                  </a:graphic>
                </wp:inline>
              </w:drawing>
            </w:r>
            <w:r w:rsidRPr="00CE4961">
              <w:rPr>
                <w:rFonts w:ascii="Helv" w:hAnsi="Helv" w:cs="Helv"/>
                <w:noProof/>
                <w:sz w:val="20"/>
                <w:szCs w:val="20"/>
              </w:rPr>
              <w:drawing>
                <wp:inline distT="0" distB="0" distL="0" distR="0" wp14:anchorId="38BD1738" wp14:editId="4930997B">
                  <wp:extent cx="2133600" cy="4476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133600" cy="447675"/>
                          </a:xfrm>
                          <a:prstGeom prst="rect">
                            <a:avLst/>
                          </a:prstGeom>
                          <a:noFill/>
                          <a:ln>
                            <a:noFill/>
                          </a:ln>
                        </pic:spPr>
                      </pic:pic>
                    </a:graphicData>
                  </a:graphic>
                </wp:inline>
              </w:drawing>
            </w:r>
          </w:p>
        </w:tc>
      </w:tr>
      <w:tr w:rsidR="00CE4961" w:rsidRPr="00CE4961" w14:paraId="3CCC25A7" w14:textId="77777777" w:rsidTr="00CE4961">
        <w:tc>
          <w:tcPr>
            <w:tcW w:w="5630" w:type="dxa"/>
          </w:tcPr>
          <w:p w14:paraId="27FEBAB1"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sz w:val="20"/>
                <w:szCs w:val="20"/>
              </w:rPr>
              <w:t>19,</w:t>
            </w:r>
          </w:p>
        </w:tc>
        <w:tc>
          <w:tcPr>
            <w:tcW w:w="5590" w:type="dxa"/>
          </w:tcPr>
          <w:p w14:paraId="724CCF85"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sz w:val="20"/>
                <w:szCs w:val="20"/>
              </w:rPr>
              <w:t xml:space="preserve">Sales Force Revenue and Profitability </w:t>
            </w:r>
          </w:p>
        </w:tc>
        <w:tc>
          <w:tcPr>
            <w:tcW w:w="5590" w:type="dxa"/>
          </w:tcPr>
          <w:p w14:paraId="07C21C81"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noProof/>
                <w:sz w:val="20"/>
                <w:szCs w:val="20"/>
              </w:rPr>
              <w:drawing>
                <wp:inline distT="0" distB="0" distL="0" distR="0" wp14:anchorId="687CF13A" wp14:editId="1C3F2D57">
                  <wp:extent cx="2409825" cy="4476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409825" cy="447675"/>
                          </a:xfrm>
                          <a:prstGeom prst="rect">
                            <a:avLst/>
                          </a:prstGeom>
                          <a:noFill/>
                          <a:ln>
                            <a:noFill/>
                          </a:ln>
                        </pic:spPr>
                      </pic:pic>
                    </a:graphicData>
                  </a:graphic>
                </wp:inline>
              </w:drawing>
            </w:r>
          </w:p>
        </w:tc>
      </w:tr>
      <w:tr w:rsidR="00CE4961" w:rsidRPr="00CE4961" w14:paraId="37580646" w14:textId="77777777" w:rsidTr="00CE4961">
        <w:tc>
          <w:tcPr>
            <w:tcW w:w="5630" w:type="dxa"/>
          </w:tcPr>
          <w:p w14:paraId="7ECD589F"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sz w:val="20"/>
                <w:szCs w:val="20"/>
              </w:rPr>
              <w:t>20</w:t>
            </w:r>
          </w:p>
        </w:tc>
        <w:tc>
          <w:tcPr>
            <w:tcW w:w="5590" w:type="dxa"/>
          </w:tcPr>
          <w:p w14:paraId="26CDCD9D"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r w:rsidRPr="00CE4961">
              <w:rPr>
                <w:rFonts w:ascii="Helv" w:hAnsi="Helv" w:cs="Helv"/>
                <w:sz w:val="20"/>
                <w:szCs w:val="20"/>
              </w:rPr>
              <w:t>Group Presentations</w:t>
            </w:r>
          </w:p>
        </w:tc>
        <w:tc>
          <w:tcPr>
            <w:tcW w:w="5590" w:type="dxa"/>
          </w:tcPr>
          <w:p w14:paraId="4055D1A2" w14:textId="77777777" w:rsidR="005304EC" w:rsidRPr="00CE4961" w:rsidRDefault="005304EC">
            <w:pPr>
              <w:keepNext/>
              <w:keepLines/>
              <w:autoSpaceDE w:val="0"/>
              <w:autoSpaceDN w:val="0"/>
              <w:adjustRightInd w:val="0"/>
              <w:spacing w:after="0" w:line="240" w:lineRule="atLeast"/>
              <w:ind w:left="15"/>
              <w:rPr>
                <w:rFonts w:ascii="Helv" w:hAnsi="Helv" w:cs="Helv"/>
                <w:sz w:val="20"/>
                <w:szCs w:val="20"/>
              </w:rPr>
            </w:pPr>
          </w:p>
        </w:tc>
      </w:tr>
    </w:tbl>
    <w:p w14:paraId="46F57DC7" w14:textId="77777777" w:rsidR="005304EC" w:rsidRPr="00CE4961" w:rsidRDefault="005304EC" w:rsidP="005304EC">
      <w:pPr>
        <w:autoSpaceDE w:val="0"/>
        <w:autoSpaceDN w:val="0"/>
        <w:adjustRightInd w:val="0"/>
        <w:spacing w:after="0" w:line="240" w:lineRule="auto"/>
        <w:rPr>
          <w:rFonts w:ascii="Helv" w:hAnsi="Helv" w:cs="Helv"/>
          <w:sz w:val="20"/>
          <w:szCs w:val="20"/>
        </w:rPr>
      </w:pPr>
    </w:p>
    <w:p w14:paraId="52E706AC" w14:textId="77777777" w:rsidR="005304EC" w:rsidRPr="00CE4961" w:rsidRDefault="005304EC" w:rsidP="005304EC">
      <w:pPr>
        <w:autoSpaceDE w:val="0"/>
        <w:autoSpaceDN w:val="0"/>
        <w:adjustRightInd w:val="0"/>
        <w:spacing w:after="240" w:line="240" w:lineRule="atLeast"/>
        <w:rPr>
          <w:rFonts w:ascii="Helv" w:hAnsi="Helv" w:cs="Helv"/>
          <w:sz w:val="20"/>
          <w:szCs w:val="20"/>
        </w:rPr>
      </w:pPr>
    </w:p>
    <w:p w14:paraId="03F7C3FD" w14:textId="77777777" w:rsidR="005304EC" w:rsidRPr="00CE4961" w:rsidRDefault="005304EC" w:rsidP="005304EC">
      <w:pPr>
        <w:autoSpaceDE w:val="0"/>
        <w:autoSpaceDN w:val="0"/>
        <w:adjustRightInd w:val="0"/>
        <w:spacing w:after="240" w:line="240" w:lineRule="atLeast"/>
        <w:rPr>
          <w:rFonts w:ascii="Helv" w:hAnsi="Helv" w:cs="Helv"/>
          <w:sz w:val="24"/>
          <w:szCs w:val="24"/>
        </w:rPr>
      </w:pPr>
      <w:r w:rsidRPr="00CE4961">
        <w:rPr>
          <w:rFonts w:ascii="Helv" w:hAnsi="Helv" w:cs="Helv"/>
          <w:sz w:val="24"/>
          <w:szCs w:val="24"/>
        </w:rPr>
        <w:t xml:space="preserve">Cases would be given as and when taken up in class. </w:t>
      </w:r>
      <w:proofErr w:type="spellStart"/>
      <w:r w:rsidRPr="00CE4961">
        <w:rPr>
          <w:rFonts w:ascii="Helv" w:hAnsi="Helv" w:cs="Helv"/>
          <w:sz w:val="24"/>
          <w:szCs w:val="24"/>
        </w:rPr>
        <w:t>Particpants</w:t>
      </w:r>
      <w:proofErr w:type="spellEnd"/>
      <w:r w:rsidRPr="00CE4961">
        <w:rPr>
          <w:rFonts w:ascii="Helv" w:hAnsi="Helv" w:cs="Helv"/>
          <w:sz w:val="24"/>
          <w:szCs w:val="24"/>
        </w:rPr>
        <w:t xml:space="preserve"> are expected to have read and </w:t>
      </w:r>
      <w:proofErr w:type="spellStart"/>
      <w:r w:rsidRPr="00CE4961">
        <w:rPr>
          <w:rFonts w:ascii="Helv" w:hAnsi="Helv" w:cs="Helv"/>
          <w:sz w:val="24"/>
          <w:szCs w:val="24"/>
        </w:rPr>
        <w:t>analysed</w:t>
      </w:r>
      <w:proofErr w:type="spellEnd"/>
      <w:r w:rsidRPr="00CE4961">
        <w:rPr>
          <w:rFonts w:ascii="Helv" w:hAnsi="Helv" w:cs="Helv"/>
          <w:sz w:val="24"/>
          <w:szCs w:val="24"/>
        </w:rPr>
        <w:t xml:space="preserve"> the case to discuss meaningfully in </w:t>
      </w:r>
      <w:proofErr w:type="gramStart"/>
      <w:r w:rsidRPr="00CE4961">
        <w:rPr>
          <w:rFonts w:ascii="Helv" w:hAnsi="Helv" w:cs="Helv"/>
          <w:sz w:val="24"/>
          <w:szCs w:val="24"/>
        </w:rPr>
        <w:t>class</w:t>
      </w:r>
      <w:proofErr w:type="gramEnd"/>
    </w:p>
    <w:p w14:paraId="532669AC" w14:textId="77777777" w:rsidR="005304EC" w:rsidRPr="00CE4961" w:rsidRDefault="005304EC" w:rsidP="005304EC">
      <w:pPr>
        <w:autoSpaceDE w:val="0"/>
        <w:autoSpaceDN w:val="0"/>
        <w:adjustRightInd w:val="0"/>
        <w:spacing w:after="240" w:line="240" w:lineRule="atLeast"/>
        <w:rPr>
          <w:rFonts w:ascii="Helv" w:hAnsi="Helv" w:cs="Helv"/>
          <w:sz w:val="24"/>
          <w:szCs w:val="24"/>
        </w:rPr>
      </w:pPr>
      <w:r w:rsidRPr="00CE4961">
        <w:rPr>
          <w:rFonts w:ascii="Helv" w:hAnsi="Helv" w:cs="Helv"/>
          <w:sz w:val="24"/>
          <w:szCs w:val="24"/>
        </w:rPr>
        <w:t>Evaluation</w:t>
      </w:r>
    </w:p>
    <w:p w14:paraId="03B0BE22" w14:textId="77777777" w:rsidR="005304EC" w:rsidRPr="00CE4961" w:rsidRDefault="005304EC" w:rsidP="005304EC">
      <w:pPr>
        <w:autoSpaceDE w:val="0"/>
        <w:autoSpaceDN w:val="0"/>
        <w:adjustRightInd w:val="0"/>
        <w:spacing w:after="0" w:line="240" w:lineRule="atLeast"/>
        <w:rPr>
          <w:rFonts w:ascii="Helv" w:hAnsi="Helv" w:cs="Helv"/>
          <w:sz w:val="20"/>
          <w:szCs w:val="20"/>
        </w:rPr>
      </w:pPr>
      <w:r w:rsidRPr="00CE4961">
        <w:rPr>
          <w:rFonts w:ascii="Helv" w:hAnsi="Helv" w:cs="Helv"/>
          <w:sz w:val="20"/>
          <w:szCs w:val="20"/>
        </w:rPr>
        <w:t xml:space="preserve">Class </w:t>
      </w:r>
      <w:proofErr w:type="spellStart"/>
      <w:r w:rsidRPr="00CE4961">
        <w:rPr>
          <w:rFonts w:ascii="Helv" w:hAnsi="Helv" w:cs="Helv"/>
          <w:sz w:val="20"/>
          <w:szCs w:val="20"/>
        </w:rPr>
        <w:t>particpation</w:t>
      </w:r>
      <w:proofErr w:type="spellEnd"/>
      <w:r w:rsidRPr="00CE4961">
        <w:rPr>
          <w:rFonts w:ascii="Helv" w:hAnsi="Helv" w:cs="Helv"/>
          <w:sz w:val="20"/>
          <w:szCs w:val="20"/>
        </w:rPr>
        <w:t xml:space="preserve"> - 15%</w:t>
      </w:r>
    </w:p>
    <w:p w14:paraId="2E7ADF3E" w14:textId="77777777" w:rsidR="005304EC" w:rsidRPr="00CE4961" w:rsidRDefault="005304EC" w:rsidP="005304EC">
      <w:pPr>
        <w:autoSpaceDE w:val="0"/>
        <w:autoSpaceDN w:val="0"/>
        <w:adjustRightInd w:val="0"/>
        <w:spacing w:after="0" w:line="240" w:lineRule="atLeast"/>
        <w:rPr>
          <w:rFonts w:ascii="Helv" w:hAnsi="Helv" w:cs="Helv"/>
          <w:sz w:val="20"/>
          <w:szCs w:val="20"/>
        </w:rPr>
      </w:pPr>
      <w:r w:rsidRPr="00CE4961">
        <w:rPr>
          <w:rFonts w:ascii="Helv" w:hAnsi="Helv" w:cs="Helv"/>
          <w:sz w:val="20"/>
          <w:szCs w:val="20"/>
        </w:rPr>
        <w:t>Quizzes Two - 15% each</w:t>
      </w:r>
    </w:p>
    <w:p w14:paraId="3AD30C8A" w14:textId="77777777" w:rsidR="005304EC" w:rsidRPr="00CE4961" w:rsidRDefault="005304EC" w:rsidP="005304EC">
      <w:pPr>
        <w:autoSpaceDE w:val="0"/>
        <w:autoSpaceDN w:val="0"/>
        <w:adjustRightInd w:val="0"/>
        <w:spacing w:after="0" w:line="240" w:lineRule="atLeast"/>
        <w:rPr>
          <w:rFonts w:ascii="Helv" w:hAnsi="Helv" w:cs="Helv"/>
          <w:sz w:val="20"/>
          <w:szCs w:val="20"/>
        </w:rPr>
      </w:pPr>
      <w:r w:rsidRPr="00CE4961">
        <w:rPr>
          <w:rFonts w:ascii="Helv" w:hAnsi="Helv" w:cs="Helv"/>
          <w:sz w:val="20"/>
          <w:szCs w:val="20"/>
        </w:rPr>
        <w:t>Group Project - 20%</w:t>
      </w:r>
    </w:p>
    <w:p w14:paraId="4D94DAC1" w14:textId="77777777" w:rsidR="005304EC" w:rsidRPr="00CE4961" w:rsidRDefault="005304EC" w:rsidP="005304EC">
      <w:pPr>
        <w:autoSpaceDE w:val="0"/>
        <w:autoSpaceDN w:val="0"/>
        <w:adjustRightInd w:val="0"/>
        <w:spacing w:after="0" w:line="240" w:lineRule="atLeast"/>
        <w:rPr>
          <w:rFonts w:ascii="Helv" w:hAnsi="Helv" w:cs="Helv"/>
          <w:sz w:val="20"/>
          <w:szCs w:val="20"/>
        </w:rPr>
      </w:pPr>
      <w:r w:rsidRPr="00CE4961">
        <w:rPr>
          <w:rFonts w:ascii="Helv" w:hAnsi="Helv" w:cs="Helv"/>
          <w:sz w:val="20"/>
          <w:szCs w:val="20"/>
        </w:rPr>
        <w:t>End Term - 35%</w:t>
      </w:r>
    </w:p>
    <w:p w14:paraId="62990909" w14:textId="77777777" w:rsidR="005304EC" w:rsidRPr="00CE4961" w:rsidRDefault="005304EC" w:rsidP="005304EC">
      <w:pPr>
        <w:autoSpaceDE w:val="0"/>
        <w:autoSpaceDN w:val="0"/>
        <w:adjustRightInd w:val="0"/>
        <w:spacing w:after="0" w:line="240" w:lineRule="atLeast"/>
        <w:rPr>
          <w:rFonts w:ascii="Helv" w:hAnsi="Helv" w:cs="Helv"/>
          <w:sz w:val="20"/>
          <w:szCs w:val="20"/>
        </w:rPr>
      </w:pPr>
    </w:p>
    <w:p w14:paraId="23FC7FD4" w14:textId="77777777" w:rsidR="005304EC" w:rsidRPr="00CE4961" w:rsidRDefault="005304EC" w:rsidP="005304EC">
      <w:pPr>
        <w:autoSpaceDE w:val="0"/>
        <w:autoSpaceDN w:val="0"/>
        <w:adjustRightInd w:val="0"/>
        <w:spacing w:after="0" w:line="240" w:lineRule="atLeast"/>
        <w:rPr>
          <w:rFonts w:ascii="Helv" w:hAnsi="Helv" w:cs="Helv"/>
          <w:sz w:val="24"/>
          <w:szCs w:val="24"/>
        </w:rPr>
      </w:pPr>
      <w:r w:rsidRPr="00CE4961">
        <w:rPr>
          <w:rFonts w:ascii="Helv" w:hAnsi="Helv" w:cs="Helv"/>
          <w:sz w:val="24"/>
          <w:szCs w:val="24"/>
        </w:rPr>
        <w:t>Books</w:t>
      </w:r>
    </w:p>
    <w:p w14:paraId="28C0AE86" w14:textId="77777777" w:rsidR="005304EC" w:rsidRPr="00CE4961" w:rsidRDefault="005304EC" w:rsidP="005304EC">
      <w:pPr>
        <w:autoSpaceDE w:val="0"/>
        <w:autoSpaceDN w:val="0"/>
        <w:adjustRightInd w:val="0"/>
        <w:spacing w:after="0" w:line="240" w:lineRule="atLeast"/>
        <w:rPr>
          <w:rFonts w:ascii="Helv" w:hAnsi="Helv" w:cs="Helv"/>
          <w:sz w:val="20"/>
          <w:szCs w:val="20"/>
        </w:rPr>
      </w:pPr>
      <w:r w:rsidRPr="00CE4961">
        <w:rPr>
          <w:rFonts w:ascii="Helv" w:hAnsi="Helv" w:cs="Helv"/>
          <w:sz w:val="20"/>
          <w:szCs w:val="20"/>
        </w:rPr>
        <w:t xml:space="preserve">Recommended Text </w:t>
      </w:r>
    </w:p>
    <w:p w14:paraId="02F4219A" w14:textId="77777777" w:rsidR="005304EC" w:rsidRPr="00CE4961" w:rsidRDefault="005304EC" w:rsidP="005304EC">
      <w:pPr>
        <w:autoSpaceDE w:val="0"/>
        <w:autoSpaceDN w:val="0"/>
        <w:adjustRightInd w:val="0"/>
        <w:spacing w:after="0" w:line="240" w:lineRule="atLeast"/>
        <w:rPr>
          <w:rFonts w:ascii="Helv" w:hAnsi="Helv" w:cs="Helv"/>
          <w:sz w:val="20"/>
          <w:szCs w:val="20"/>
        </w:rPr>
      </w:pPr>
      <w:r w:rsidRPr="00CE4961">
        <w:rPr>
          <w:rFonts w:ascii="Helv" w:hAnsi="Helv" w:cs="Helv"/>
          <w:sz w:val="20"/>
          <w:szCs w:val="20"/>
        </w:rPr>
        <w:t>Sales Force Management - Mark W. Johnston, Greg W. Marshall - 11th edition</w:t>
      </w:r>
    </w:p>
    <w:p w14:paraId="6AB9B908" w14:textId="77777777" w:rsidR="005304EC" w:rsidRPr="00CE4961" w:rsidRDefault="005304EC" w:rsidP="005304EC">
      <w:pPr>
        <w:autoSpaceDE w:val="0"/>
        <w:autoSpaceDN w:val="0"/>
        <w:adjustRightInd w:val="0"/>
        <w:spacing w:after="0" w:line="240" w:lineRule="atLeast"/>
        <w:rPr>
          <w:rFonts w:ascii="Helv" w:hAnsi="Helv" w:cs="Helv"/>
          <w:sz w:val="20"/>
          <w:szCs w:val="20"/>
        </w:rPr>
      </w:pPr>
    </w:p>
    <w:p w14:paraId="71FC4890" w14:textId="77777777" w:rsidR="005304EC" w:rsidRPr="00CE4961" w:rsidRDefault="005304EC" w:rsidP="005304EC">
      <w:pPr>
        <w:autoSpaceDE w:val="0"/>
        <w:autoSpaceDN w:val="0"/>
        <w:adjustRightInd w:val="0"/>
        <w:spacing w:after="0" w:line="240" w:lineRule="atLeast"/>
        <w:rPr>
          <w:rFonts w:ascii="Helv" w:hAnsi="Helv" w:cs="Helv"/>
          <w:sz w:val="24"/>
          <w:szCs w:val="24"/>
        </w:rPr>
      </w:pPr>
      <w:r w:rsidRPr="00CE4961">
        <w:rPr>
          <w:rFonts w:ascii="Helv" w:hAnsi="Helv" w:cs="Helv"/>
          <w:sz w:val="24"/>
          <w:szCs w:val="24"/>
        </w:rPr>
        <w:t>Reference Texts</w:t>
      </w:r>
    </w:p>
    <w:p w14:paraId="7678B94A" w14:textId="77777777" w:rsidR="005304EC" w:rsidRPr="00CE4961" w:rsidRDefault="005304EC" w:rsidP="005304EC">
      <w:pPr>
        <w:autoSpaceDE w:val="0"/>
        <w:autoSpaceDN w:val="0"/>
        <w:adjustRightInd w:val="0"/>
        <w:spacing w:after="0" w:line="240" w:lineRule="atLeast"/>
        <w:rPr>
          <w:rFonts w:ascii="Helv" w:hAnsi="Helv" w:cs="Helv"/>
          <w:sz w:val="20"/>
          <w:szCs w:val="20"/>
        </w:rPr>
      </w:pPr>
      <w:r w:rsidRPr="00CE4961">
        <w:rPr>
          <w:rFonts w:ascii="Helv" w:hAnsi="Helv" w:cs="Helv"/>
          <w:sz w:val="20"/>
          <w:szCs w:val="20"/>
        </w:rPr>
        <w:t xml:space="preserve">Sales Management - analysis and decision making - Thomas N. Ingram, Raymond W. LaForge, </w:t>
      </w:r>
      <w:proofErr w:type="spellStart"/>
      <w:r w:rsidRPr="00CE4961">
        <w:rPr>
          <w:rFonts w:ascii="Helv" w:hAnsi="Helv" w:cs="Helv"/>
          <w:sz w:val="20"/>
          <w:szCs w:val="20"/>
        </w:rPr>
        <w:t>Raymon</w:t>
      </w:r>
      <w:proofErr w:type="spellEnd"/>
      <w:r w:rsidRPr="00CE4961">
        <w:rPr>
          <w:rFonts w:ascii="Helv" w:hAnsi="Helv" w:cs="Helv"/>
          <w:sz w:val="20"/>
          <w:szCs w:val="20"/>
        </w:rPr>
        <w:t xml:space="preserve"> A. Avila, Charles H. </w:t>
      </w:r>
      <w:proofErr w:type="spellStart"/>
      <w:r w:rsidRPr="00CE4961">
        <w:rPr>
          <w:rFonts w:ascii="Helv" w:hAnsi="Helv" w:cs="Helv"/>
          <w:sz w:val="20"/>
          <w:szCs w:val="20"/>
        </w:rPr>
        <w:t>Schwepkar</w:t>
      </w:r>
      <w:proofErr w:type="spellEnd"/>
      <w:r w:rsidRPr="00CE4961">
        <w:rPr>
          <w:rFonts w:ascii="Helv" w:hAnsi="Helv" w:cs="Helv"/>
          <w:sz w:val="20"/>
          <w:szCs w:val="20"/>
        </w:rPr>
        <w:t xml:space="preserve"> Jr. and Michael R. Williams- 9th </w:t>
      </w:r>
      <w:proofErr w:type="gramStart"/>
      <w:r w:rsidRPr="00CE4961">
        <w:rPr>
          <w:rFonts w:ascii="Helv" w:hAnsi="Helv" w:cs="Helv"/>
          <w:sz w:val="20"/>
          <w:szCs w:val="20"/>
        </w:rPr>
        <w:t>edition</w:t>
      </w:r>
      <w:proofErr w:type="gramEnd"/>
    </w:p>
    <w:p w14:paraId="10694B30" w14:textId="77777777" w:rsidR="005304EC" w:rsidRPr="00CE4961" w:rsidRDefault="005304EC" w:rsidP="005304EC">
      <w:pPr>
        <w:autoSpaceDE w:val="0"/>
        <w:autoSpaceDN w:val="0"/>
        <w:adjustRightInd w:val="0"/>
        <w:spacing w:after="0" w:line="240" w:lineRule="atLeast"/>
        <w:rPr>
          <w:rFonts w:ascii="Helv" w:hAnsi="Helv" w:cs="Helv"/>
          <w:sz w:val="20"/>
          <w:szCs w:val="20"/>
        </w:rPr>
      </w:pPr>
      <w:r w:rsidRPr="00CE4961">
        <w:rPr>
          <w:rFonts w:ascii="Helv" w:hAnsi="Helv" w:cs="Helv"/>
          <w:sz w:val="20"/>
          <w:szCs w:val="20"/>
        </w:rPr>
        <w:t xml:space="preserve">Sales Management - Decision, Strategy and Cases - Richard R. Still, Edward W. Cundiff, Norman A. P. </w:t>
      </w:r>
      <w:proofErr w:type="spellStart"/>
      <w:r w:rsidRPr="00CE4961">
        <w:rPr>
          <w:rFonts w:ascii="Helv" w:hAnsi="Helv" w:cs="Helv"/>
          <w:sz w:val="20"/>
          <w:szCs w:val="20"/>
        </w:rPr>
        <w:t>Govani</w:t>
      </w:r>
      <w:proofErr w:type="spellEnd"/>
      <w:r w:rsidRPr="00CE4961">
        <w:rPr>
          <w:rFonts w:ascii="Helv" w:hAnsi="Helv" w:cs="Helv"/>
          <w:sz w:val="20"/>
          <w:szCs w:val="20"/>
        </w:rPr>
        <w:t xml:space="preserve"> - 5th edition</w:t>
      </w:r>
    </w:p>
    <w:p w14:paraId="32763B4B" w14:textId="77777777" w:rsidR="005304EC" w:rsidRPr="00CE4961" w:rsidRDefault="005304EC" w:rsidP="005304EC">
      <w:pPr>
        <w:autoSpaceDE w:val="0"/>
        <w:autoSpaceDN w:val="0"/>
        <w:adjustRightInd w:val="0"/>
        <w:spacing w:after="0" w:line="240" w:lineRule="atLeast"/>
        <w:rPr>
          <w:rFonts w:ascii="Helv" w:hAnsi="Helv" w:cs="Helv"/>
          <w:sz w:val="20"/>
          <w:szCs w:val="20"/>
        </w:rPr>
      </w:pPr>
      <w:r w:rsidRPr="00CE4961">
        <w:rPr>
          <w:rFonts w:ascii="Helv" w:hAnsi="Helv" w:cs="Helv"/>
          <w:sz w:val="20"/>
          <w:szCs w:val="20"/>
        </w:rPr>
        <w:t xml:space="preserve">Building a Winning Sales Force - Andris A. </w:t>
      </w:r>
      <w:proofErr w:type="spellStart"/>
      <w:r w:rsidRPr="00CE4961">
        <w:rPr>
          <w:rFonts w:ascii="Helv" w:hAnsi="Helv" w:cs="Helv"/>
          <w:sz w:val="20"/>
          <w:szCs w:val="20"/>
        </w:rPr>
        <w:t>Zoltners</w:t>
      </w:r>
      <w:proofErr w:type="spellEnd"/>
      <w:r w:rsidRPr="00CE4961">
        <w:rPr>
          <w:rFonts w:ascii="Helv" w:hAnsi="Helv" w:cs="Helv"/>
          <w:sz w:val="20"/>
          <w:szCs w:val="20"/>
        </w:rPr>
        <w:t xml:space="preserve">, </w:t>
      </w:r>
      <w:proofErr w:type="spellStart"/>
      <w:r w:rsidRPr="00CE4961">
        <w:rPr>
          <w:rFonts w:ascii="Helv" w:hAnsi="Helv" w:cs="Helv"/>
          <w:sz w:val="20"/>
          <w:szCs w:val="20"/>
        </w:rPr>
        <w:t>Prabhakant</w:t>
      </w:r>
      <w:proofErr w:type="spellEnd"/>
      <w:r w:rsidRPr="00CE4961">
        <w:rPr>
          <w:rFonts w:ascii="Helv" w:hAnsi="Helv" w:cs="Helv"/>
          <w:sz w:val="20"/>
          <w:szCs w:val="20"/>
        </w:rPr>
        <w:t xml:space="preserve"> Sinha, Sally E. Lorimer - 2009</w:t>
      </w:r>
    </w:p>
    <w:p w14:paraId="7CCD7154" w14:textId="77777777" w:rsidR="005304EC" w:rsidRPr="00CE4961" w:rsidRDefault="005304EC" w:rsidP="005304EC">
      <w:pPr>
        <w:autoSpaceDE w:val="0"/>
        <w:autoSpaceDN w:val="0"/>
        <w:adjustRightInd w:val="0"/>
        <w:spacing w:after="0" w:line="240" w:lineRule="atLeast"/>
        <w:rPr>
          <w:rFonts w:ascii="Helv" w:hAnsi="Helv" w:cs="Helv"/>
          <w:sz w:val="20"/>
          <w:szCs w:val="20"/>
        </w:rPr>
      </w:pPr>
    </w:p>
    <w:p w14:paraId="70818F7C" w14:textId="77777777" w:rsidR="005304EC" w:rsidRPr="00CE4961" w:rsidRDefault="005304EC" w:rsidP="005304EC">
      <w:pPr>
        <w:autoSpaceDE w:val="0"/>
        <w:autoSpaceDN w:val="0"/>
        <w:adjustRightInd w:val="0"/>
        <w:spacing w:after="0" w:line="240" w:lineRule="atLeast"/>
        <w:rPr>
          <w:rFonts w:ascii="Helv" w:hAnsi="Helv" w:cs="Helv"/>
          <w:sz w:val="24"/>
          <w:szCs w:val="24"/>
        </w:rPr>
      </w:pPr>
      <w:r w:rsidRPr="00CE4961">
        <w:rPr>
          <w:rFonts w:ascii="Helv" w:hAnsi="Helv" w:cs="Helv"/>
          <w:sz w:val="24"/>
          <w:szCs w:val="24"/>
        </w:rPr>
        <w:t>Academic Integrity</w:t>
      </w:r>
    </w:p>
    <w:p w14:paraId="356A7E82" w14:textId="77777777" w:rsidR="005304EC" w:rsidRPr="00CE4961" w:rsidRDefault="005304EC" w:rsidP="005304EC">
      <w:r w:rsidRPr="00CE4961">
        <w:rPr>
          <w:rFonts w:ascii="Helv" w:hAnsi="Helv" w:cs="Helv"/>
          <w:sz w:val="20"/>
          <w:szCs w:val="20"/>
        </w:rPr>
        <w:lastRenderedPageBreak/>
        <w:t xml:space="preserve">Students are expected to show the highest level of integrity in completing their assignments and tasks. While collaboration is allowed, anyone finding indulging in malpractices would be severely dealt with. Punctuality and attendance </w:t>
      </w:r>
      <w:proofErr w:type="gramStart"/>
      <w:r w:rsidRPr="00CE4961">
        <w:rPr>
          <w:rFonts w:ascii="Helv" w:hAnsi="Helv" w:cs="Helv"/>
          <w:sz w:val="20"/>
          <w:szCs w:val="20"/>
        </w:rPr>
        <w:t>is</w:t>
      </w:r>
      <w:proofErr w:type="gramEnd"/>
      <w:r w:rsidRPr="00CE4961">
        <w:rPr>
          <w:rFonts w:ascii="Helv" w:hAnsi="Helv" w:cs="Helv"/>
          <w:sz w:val="20"/>
          <w:szCs w:val="20"/>
        </w:rPr>
        <w:t xml:space="preserve"> expected of all students. Penalties as mentioned in the Students </w:t>
      </w:r>
      <w:proofErr w:type="spellStart"/>
      <w:r w:rsidRPr="00CE4961">
        <w:rPr>
          <w:rFonts w:ascii="Helv" w:hAnsi="Helv" w:cs="Helv"/>
          <w:sz w:val="20"/>
          <w:szCs w:val="20"/>
        </w:rPr>
        <w:t>MoP</w:t>
      </w:r>
      <w:proofErr w:type="spellEnd"/>
      <w:r w:rsidRPr="00CE4961">
        <w:rPr>
          <w:rFonts w:ascii="Helv" w:hAnsi="Helv" w:cs="Helv"/>
          <w:sz w:val="20"/>
          <w:szCs w:val="20"/>
        </w:rPr>
        <w:t xml:space="preserve"> for attendance shall be applicable for all students.</w:t>
      </w:r>
    </w:p>
    <w:sectPr w:rsidR="005304EC" w:rsidRPr="00CE4961" w:rsidSect="00B16F46">
      <w:headerReference w:type="even" r:id="rId21"/>
      <w:headerReference w:type="default" r:id="rId22"/>
      <w:footerReference w:type="even" r:id="rId23"/>
      <w:footerReference w:type="default" r:id="rId24"/>
      <w:headerReference w:type="first" r:id="rId25"/>
      <w:footerReference w:type="first" r:id="rId26"/>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29D32B" w14:textId="77777777" w:rsidR="00CA1C6B" w:rsidRDefault="00CA1C6B" w:rsidP="00B16F46">
      <w:pPr>
        <w:spacing w:after="0" w:line="240" w:lineRule="auto"/>
      </w:pPr>
      <w:r>
        <w:separator/>
      </w:r>
    </w:p>
  </w:endnote>
  <w:endnote w:type="continuationSeparator" w:id="0">
    <w:p w14:paraId="33CA9C25" w14:textId="77777777" w:rsidR="00CA1C6B" w:rsidRDefault="00CA1C6B" w:rsidP="00B16F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
    <w:altName w:val="Arial"/>
    <w:panose1 w:val="020B060402020203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4772C4" w14:textId="77777777" w:rsidR="00B16F46" w:rsidRDefault="00B16F4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7A018D" w14:textId="77777777" w:rsidR="00B16F46" w:rsidRDefault="00B16F4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1E9197" w14:textId="77777777" w:rsidR="00B16F46" w:rsidRDefault="00B16F4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247E4E" w14:textId="77777777" w:rsidR="00CA1C6B" w:rsidRDefault="00CA1C6B" w:rsidP="00B16F46">
      <w:pPr>
        <w:spacing w:after="0" w:line="240" w:lineRule="auto"/>
      </w:pPr>
      <w:r>
        <w:separator/>
      </w:r>
    </w:p>
  </w:footnote>
  <w:footnote w:type="continuationSeparator" w:id="0">
    <w:p w14:paraId="549E559A" w14:textId="77777777" w:rsidR="00CA1C6B" w:rsidRDefault="00CA1C6B" w:rsidP="00B16F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BA08F0" w14:textId="77777777" w:rsidR="00B16F46" w:rsidRDefault="00B16F4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E4D1EC" w14:textId="77777777" w:rsidR="00B16F46" w:rsidRDefault="00B16F4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4E4537" w14:textId="77777777" w:rsidR="00B16F46" w:rsidRDefault="00B16F4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04EC"/>
    <w:rsid w:val="005304EC"/>
    <w:rsid w:val="00B16F46"/>
    <w:rsid w:val="00CA1C6B"/>
    <w:rsid w:val="00CC1F41"/>
    <w:rsid w:val="00CE49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7562E9"/>
  <w15:chartTrackingRefBased/>
  <w15:docId w15:val="{5E6B9DAD-2631-42A8-ACCF-C0AC6F03C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E496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16F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6F46"/>
  </w:style>
  <w:style w:type="paragraph" w:styleId="Footer">
    <w:name w:val="footer"/>
    <w:basedOn w:val="Normal"/>
    <w:link w:val="FooterChar"/>
    <w:uiPriority w:val="99"/>
    <w:unhideWhenUsed/>
    <w:rsid w:val="00B16F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6F46"/>
  </w:style>
  <w:style w:type="character" w:customStyle="1" w:styleId="Heading1Char">
    <w:name w:val="Heading 1 Char"/>
    <w:basedOn w:val="DefaultParagraphFont"/>
    <w:link w:val="Heading1"/>
    <w:uiPriority w:val="9"/>
    <w:rsid w:val="00CE4961"/>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8.wmf"/><Relationship Id="rId18" Type="http://schemas.openxmlformats.org/officeDocument/2006/relationships/image" Target="media/image13.wmf"/><Relationship Id="rId26" Type="http://schemas.openxmlformats.org/officeDocument/2006/relationships/footer" Target="footer3.xml"/><Relationship Id="rId3" Type="http://schemas.openxmlformats.org/officeDocument/2006/relationships/webSettings" Target="webSettings.xml"/><Relationship Id="rId21" Type="http://schemas.openxmlformats.org/officeDocument/2006/relationships/header" Target="header1.xml"/><Relationship Id="rId7" Type="http://schemas.openxmlformats.org/officeDocument/2006/relationships/image" Target="media/image2.wmf"/><Relationship Id="rId12" Type="http://schemas.openxmlformats.org/officeDocument/2006/relationships/image" Target="media/image7.wmf"/><Relationship Id="rId17" Type="http://schemas.openxmlformats.org/officeDocument/2006/relationships/image" Target="media/image12.wmf"/><Relationship Id="rId25" Type="http://schemas.openxmlformats.org/officeDocument/2006/relationships/header" Target="header3.xml"/><Relationship Id="rId2" Type="http://schemas.openxmlformats.org/officeDocument/2006/relationships/settings" Target="settings.xml"/><Relationship Id="rId16" Type="http://schemas.openxmlformats.org/officeDocument/2006/relationships/image" Target="media/image11.wmf"/><Relationship Id="rId20" Type="http://schemas.openxmlformats.org/officeDocument/2006/relationships/image" Target="media/image15.wmf"/><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image" Target="media/image6.wmf"/><Relationship Id="rId24"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image" Target="media/image10.wmf"/><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image" Target="media/image5.wmf"/><Relationship Id="rId19" Type="http://schemas.openxmlformats.org/officeDocument/2006/relationships/image" Target="media/image14.wmf"/><Relationship Id="rId4" Type="http://schemas.openxmlformats.org/officeDocument/2006/relationships/footnotes" Target="footnotes.xml"/><Relationship Id="rId9" Type="http://schemas.openxmlformats.org/officeDocument/2006/relationships/image" Target="media/image4.wmf"/><Relationship Id="rId14" Type="http://schemas.openxmlformats.org/officeDocument/2006/relationships/image" Target="media/image9.wmf"/><Relationship Id="rId22" Type="http://schemas.openxmlformats.org/officeDocument/2006/relationships/header" Target="header2.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460</Words>
  <Characters>2623</Characters>
  <Application>Microsoft Office Word</Application>
  <DocSecurity>0</DocSecurity>
  <Lines>21</Lines>
  <Paragraphs>6</Paragraphs>
  <ScaleCrop>false</ScaleCrop>
  <Company/>
  <LinksUpToDate>false</LinksUpToDate>
  <CharactersWithSpaces>3077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MN Tripathi</dc:creator>
  <cp:keywords/>
  <dc:description/>
  <cp:lastModifiedBy>Classroom xub</cp:lastModifiedBy>
  <cp:revision>2</cp:revision>
  <dcterms:created xsi:type="dcterms:W3CDTF">2021-05-13T05:37:00Z</dcterms:created>
  <dcterms:modified xsi:type="dcterms:W3CDTF">2021-05-13T05:37:00Z</dcterms:modified>
</cp:coreProperties>
</file>