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4384" w:rsidRPr="00A44384" w:rsidRDefault="00A44384" w:rsidP="00A44384">
      <w:pPr>
        <w:spacing w:after="0" w:line="240" w:lineRule="auto"/>
        <w:jc w:val="center"/>
        <w:rPr>
          <w:rFonts w:ascii="open sans" w:eastAsia="Times New Roman" w:hAnsi="open sans" w:cs="Times New Roman"/>
          <w:color w:val="333333"/>
          <w:sz w:val="21"/>
          <w:szCs w:val="21"/>
        </w:rPr>
      </w:pPr>
    </w:p>
    <w:p w:rsidR="00A44384" w:rsidRPr="00A44384" w:rsidRDefault="00A44384" w:rsidP="00A44384">
      <w:pPr>
        <w:shd w:val="clear" w:color="auto" w:fill="FFFFFF"/>
        <w:spacing w:after="0" w:line="240" w:lineRule="auto"/>
        <w:jc w:val="center"/>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FFFFF"/>
        <w:spacing w:after="0" w:line="240" w:lineRule="auto"/>
        <w:jc w:val="center"/>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pBdr>
          <w:bottom w:val="single" w:sz="6" w:space="3" w:color="8B0000"/>
        </w:pBdr>
        <w:shd w:val="clear" w:color="auto" w:fill="FFFFFF"/>
        <w:spacing w:after="0" w:line="288" w:lineRule="atLeast"/>
        <w:ind w:left="375" w:right="375"/>
        <w:jc w:val="center"/>
        <w:outlineLvl w:val="2"/>
        <w:rPr>
          <w:rFonts w:ascii="crimson pro" w:eastAsia="Times New Roman" w:hAnsi="crimson pro" w:cs="Times New Roman"/>
          <w:color w:val="333333"/>
          <w:sz w:val="36"/>
          <w:szCs w:val="36"/>
        </w:rPr>
      </w:pPr>
      <w:r w:rsidRPr="00A44384">
        <w:rPr>
          <w:rFonts w:ascii="crimson pro" w:eastAsia="Times New Roman" w:hAnsi="crimson pro" w:cs="Times New Roman"/>
          <w:color w:val="333333"/>
          <w:sz w:val="36"/>
          <w:szCs w:val="36"/>
        </w:rPr>
        <w:t>Financial Institutions and Markets</w:t>
      </w:r>
    </w:p>
    <w:p w:rsidR="00A44384" w:rsidRPr="00A44384" w:rsidRDefault="00A44384" w:rsidP="00A44384">
      <w:pPr>
        <w:spacing w:before="300" w:after="150" w:line="240" w:lineRule="auto"/>
        <w:jc w:val="center"/>
        <w:outlineLvl w:val="2"/>
        <w:rPr>
          <w:rFonts w:ascii="open sans" w:eastAsia="Times New Roman" w:hAnsi="open sans" w:cs="Times New Roman"/>
          <w:color w:val="333333"/>
          <w:sz w:val="36"/>
          <w:szCs w:val="36"/>
        </w:rPr>
      </w:pPr>
      <w:r w:rsidRPr="00A44384">
        <w:rPr>
          <w:rFonts w:ascii="open sans" w:eastAsia="Times New Roman" w:hAnsi="open sans" w:cs="Times New Roman"/>
          <w:color w:val="333333"/>
          <w:sz w:val="36"/>
          <w:szCs w:val="36"/>
        </w:rPr>
        <w:t>Course Outline</w:t>
      </w:r>
    </w:p>
    <w:p w:rsidR="00A44384" w:rsidRPr="00A44384" w:rsidRDefault="00A44384" w:rsidP="00A44384">
      <w:pPr>
        <w:shd w:val="clear" w:color="auto" w:fill="F5F5F5"/>
        <w:spacing w:after="150" w:line="240" w:lineRule="auto"/>
        <w:jc w:val="center"/>
        <w:rPr>
          <w:rFonts w:ascii="open sans" w:eastAsia="Times New Roman" w:hAnsi="open sans" w:cs="Times New Roman"/>
          <w:color w:val="333333"/>
          <w:sz w:val="21"/>
          <w:szCs w:val="21"/>
        </w:rPr>
      </w:pPr>
      <w:r w:rsidRPr="00A44384">
        <w:rPr>
          <w:rFonts w:ascii="Castellar" w:eastAsia="Times New Roman" w:hAnsi="Castellar" w:cs="Calibri"/>
          <w:b/>
          <w:bCs/>
          <w:color w:val="333333"/>
          <w:sz w:val="28"/>
          <w:szCs w:val="28"/>
        </w:rPr>
        <w:t>Xavier Institute of Management, Bhubaneswar</w:t>
      </w:r>
    </w:p>
    <w:p w:rsidR="00A44384" w:rsidRPr="00A44384" w:rsidRDefault="00A44384" w:rsidP="00A44384">
      <w:pPr>
        <w:shd w:val="clear" w:color="auto" w:fill="F5F5F5"/>
        <w:spacing w:after="150" w:line="240" w:lineRule="auto"/>
        <w:jc w:val="center"/>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XIM UNIVERSITY</w:t>
      </w:r>
    </w:p>
    <w:p w:rsidR="00A44384" w:rsidRPr="00A44384" w:rsidRDefault="00A44384" w:rsidP="00A44384">
      <w:pPr>
        <w:shd w:val="clear" w:color="auto" w:fill="F5F5F5"/>
        <w:spacing w:line="240" w:lineRule="auto"/>
        <w:jc w:val="center"/>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tbl>
      <w:tblPr>
        <w:tblW w:w="9345" w:type="dxa"/>
        <w:tblCellMar>
          <w:top w:w="15" w:type="dxa"/>
          <w:left w:w="15" w:type="dxa"/>
          <w:bottom w:w="15" w:type="dxa"/>
          <w:right w:w="15" w:type="dxa"/>
        </w:tblCellMar>
        <w:tblLook w:val="04A0" w:firstRow="1" w:lastRow="0" w:firstColumn="1" w:lastColumn="0" w:noHBand="0" w:noVBand="1"/>
      </w:tblPr>
      <w:tblGrid>
        <w:gridCol w:w="2400"/>
        <w:gridCol w:w="6945"/>
      </w:tblGrid>
      <w:tr w:rsidR="00A44384" w:rsidRPr="00A44384" w:rsidTr="00A44384">
        <w:tc>
          <w:tcPr>
            <w:tcW w:w="2400" w:type="dxa"/>
            <w:tcBorders>
              <w:top w:val="double" w:sz="4" w:space="0" w:color="auto"/>
              <w:left w:val="single" w:sz="6" w:space="0" w:color="auto"/>
              <w:bottom w:val="double" w:sz="4" w:space="0" w:color="auto"/>
              <w:right w:val="single" w:sz="6" w:space="0" w:color="auto"/>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Course Name</w:t>
            </w:r>
          </w:p>
        </w:tc>
        <w:tc>
          <w:tcPr>
            <w:tcW w:w="6945" w:type="dxa"/>
            <w:tcBorders>
              <w:top w:val="double" w:sz="4" w:space="0" w:color="000000"/>
              <w:left w:val="nil"/>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8"/>
                <w:szCs w:val="28"/>
              </w:rPr>
              <w:t>Financial Institutions and Markets (FIM)</w:t>
            </w:r>
          </w:p>
        </w:tc>
      </w:tr>
      <w:tr w:rsidR="00A44384" w:rsidRPr="00A44384" w:rsidTr="00A44384">
        <w:tc>
          <w:tcPr>
            <w:tcW w:w="240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proofErr w:type="spellStart"/>
            <w:r w:rsidRPr="00A44384">
              <w:rPr>
                <w:rFonts w:ascii="Times New Roman" w:eastAsia="Times New Roman" w:hAnsi="Times New Roman" w:cs="Times New Roman"/>
                <w:b/>
                <w:bCs/>
                <w:sz w:val="24"/>
                <w:szCs w:val="24"/>
              </w:rPr>
              <w:t>Programme</w:t>
            </w:r>
            <w:proofErr w:type="spellEnd"/>
          </w:p>
        </w:tc>
        <w:tc>
          <w:tcPr>
            <w:tcW w:w="6945"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sz w:val="24"/>
                <w:szCs w:val="24"/>
              </w:rPr>
              <w:t>MBA-BM</w:t>
            </w:r>
          </w:p>
        </w:tc>
      </w:tr>
      <w:tr w:rsidR="00A44384" w:rsidRPr="00A44384" w:rsidTr="00A44384">
        <w:tc>
          <w:tcPr>
            <w:tcW w:w="240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Batch</w:t>
            </w:r>
          </w:p>
        </w:tc>
        <w:tc>
          <w:tcPr>
            <w:tcW w:w="6945"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222222"/>
                <w:sz w:val="24"/>
                <w:szCs w:val="24"/>
              </w:rPr>
              <w:t>2025-2027</w:t>
            </w:r>
          </w:p>
        </w:tc>
      </w:tr>
      <w:tr w:rsidR="00A44384" w:rsidRPr="00A44384" w:rsidTr="00A44384">
        <w:tc>
          <w:tcPr>
            <w:tcW w:w="240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Term</w:t>
            </w:r>
          </w:p>
        </w:tc>
        <w:tc>
          <w:tcPr>
            <w:tcW w:w="6945"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I</w:t>
            </w:r>
          </w:p>
        </w:tc>
      </w:tr>
      <w:tr w:rsidR="00A44384" w:rsidRPr="00A44384" w:rsidTr="00A44384">
        <w:tc>
          <w:tcPr>
            <w:tcW w:w="240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Credits</w:t>
            </w:r>
          </w:p>
        </w:tc>
        <w:tc>
          <w:tcPr>
            <w:tcW w:w="6945"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2</w:t>
            </w:r>
          </w:p>
        </w:tc>
      </w:tr>
      <w:tr w:rsidR="00A44384" w:rsidRPr="00A44384" w:rsidTr="00A44384">
        <w:tc>
          <w:tcPr>
            <w:tcW w:w="240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sz w:val="24"/>
                <w:szCs w:val="24"/>
              </w:rPr>
              <w:t>Course Instructor</w:t>
            </w:r>
          </w:p>
        </w:tc>
        <w:tc>
          <w:tcPr>
            <w:tcW w:w="6945" w:type="dxa"/>
            <w:tcBorders>
              <w:top w:val="nil"/>
              <w:left w:val="nil"/>
              <w:bottom w:val="double" w:sz="4"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 xml:space="preserve">Prof. </w:t>
            </w:r>
            <w:proofErr w:type="spellStart"/>
            <w:r w:rsidRPr="00A44384">
              <w:rPr>
                <w:rFonts w:ascii="Times New Roman" w:eastAsia="Times New Roman" w:hAnsi="Times New Roman" w:cs="Times New Roman"/>
                <w:b/>
                <w:bCs/>
                <w:color w:val="000000"/>
                <w:sz w:val="24"/>
                <w:szCs w:val="24"/>
              </w:rPr>
              <w:t>Asit</w:t>
            </w:r>
            <w:proofErr w:type="spellEnd"/>
            <w:r w:rsidRPr="00A44384">
              <w:rPr>
                <w:rFonts w:ascii="Times New Roman" w:eastAsia="Times New Roman" w:hAnsi="Times New Roman" w:cs="Times New Roman"/>
                <w:b/>
                <w:bCs/>
                <w:color w:val="000000"/>
                <w:sz w:val="24"/>
                <w:szCs w:val="24"/>
              </w:rPr>
              <w:t xml:space="preserve"> Mohanty (3 section)</w:t>
            </w:r>
          </w:p>
          <w:p w:rsidR="00A44384" w:rsidRPr="00A44384" w:rsidRDefault="00A44384" w:rsidP="00A44384">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 xml:space="preserve">Prof. </w:t>
            </w:r>
            <w:proofErr w:type="spellStart"/>
            <w:r w:rsidRPr="00A44384">
              <w:rPr>
                <w:rFonts w:ascii="Times New Roman" w:eastAsia="Times New Roman" w:hAnsi="Times New Roman" w:cs="Times New Roman"/>
                <w:b/>
                <w:bCs/>
                <w:color w:val="000000"/>
                <w:sz w:val="24"/>
                <w:szCs w:val="24"/>
              </w:rPr>
              <w:t>Punam</w:t>
            </w:r>
            <w:proofErr w:type="spellEnd"/>
            <w:r w:rsidRPr="00A44384">
              <w:rPr>
                <w:rFonts w:ascii="Times New Roman" w:eastAsia="Times New Roman" w:hAnsi="Times New Roman" w:cs="Times New Roman"/>
                <w:b/>
                <w:bCs/>
                <w:color w:val="000000"/>
                <w:sz w:val="24"/>
                <w:szCs w:val="24"/>
              </w:rPr>
              <w:t xml:space="preserve"> Prasad (3 section)</w:t>
            </w:r>
          </w:p>
        </w:tc>
      </w:tr>
    </w:tbl>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Course Introduction and Objectives</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Financial Institutions and Markets (FIM) course is the foundation for the understanding of the basic financial structure of the economy, financial market functioning, the process of intermediation and the varied institutional arrangements for the successful functioning of the financial system. The course will give an overview of different components of financial markets, which will be an input to understand other finance related courses that will be offered going forward.</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Course Content</w:t>
      </w:r>
    </w:p>
    <w:p w:rsidR="00A44384" w:rsidRPr="00A44384" w:rsidRDefault="00A44384" w:rsidP="00A44384">
      <w:pPr>
        <w:numPr>
          <w:ilvl w:val="0"/>
          <w:numId w:val="2"/>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An overview of Indian Financial System</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Role of Markets and Implications of the Market Imperfections</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Understanding Interest Rate</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Money Market &amp; Bond Market and Institutions</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Stock Market and Institutions</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Alternative Sources of Risky Capital</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Foreign Exchange Market and Institutions</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Derivative markets and connecting the dots Across Markets</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Financial Intermediaries and Indirect Financial Market</w:t>
      </w:r>
    </w:p>
    <w:p w:rsidR="00A44384" w:rsidRPr="00A44384" w:rsidRDefault="00A44384" w:rsidP="00A44384">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lastRenderedPageBreak/>
        <w:t>Overview on regulatory aspect</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Course Learning Outcomes (CLO)</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On successful completion of this course, students will be able to:</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ind w:left="360"/>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2F2F2F"/>
          <w:sz w:val="24"/>
          <w:szCs w:val="24"/>
        </w:rPr>
        <w:t>CLO 1:</w:t>
      </w:r>
      <w:r w:rsidRPr="00A44384">
        <w:rPr>
          <w:rFonts w:ascii="Calibri" w:eastAsia="Times New Roman" w:hAnsi="Calibri" w:cs="Calibri"/>
          <w:color w:val="333333"/>
        </w:rPr>
        <w:t> </w:t>
      </w:r>
      <w:r w:rsidRPr="00A44384">
        <w:rPr>
          <w:rFonts w:ascii="Times New Roman" w:eastAsia="Times New Roman" w:hAnsi="Times New Roman" w:cs="Times New Roman"/>
          <w:color w:val="333333"/>
          <w:sz w:val="24"/>
          <w:szCs w:val="24"/>
        </w:rPr>
        <w:t>In a given situation, the students will be able to </w:t>
      </w:r>
      <w:r w:rsidRPr="00A44384">
        <w:rPr>
          <w:rFonts w:ascii="Times New Roman" w:eastAsia="Times New Roman" w:hAnsi="Times New Roman" w:cs="Times New Roman"/>
          <w:color w:val="000000"/>
          <w:sz w:val="24"/>
          <w:szCs w:val="24"/>
        </w:rPr>
        <w:t>how financial markets and its intermediaries integrate to contribute to the economic development.</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Calibri" w:eastAsia="Times New Roman" w:hAnsi="Calibri" w:cs="Calibri"/>
          <w:b/>
          <w:bCs/>
          <w:color w:val="333333"/>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Calibri" w:eastAsia="Times New Roman" w:hAnsi="Calibri" w:cs="Calibri"/>
          <w:color w:val="333333"/>
        </w:rPr>
        <w:t>      </w:t>
      </w:r>
      <w:r w:rsidRPr="00A44384">
        <w:rPr>
          <w:rFonts w:ascii="Times New Roman" w:eastAsia="Times New Roman" w:hAnsi="Times New Roman" w:cs="Times New Roman"/>
          <w:b/>
          <w:bCs/>
          <w:color w:val="2F2F2F"/>
          <w:sz w:val="24"/>
          <w:szCs w:val="24"/>
        </w:rPr>
        <w:t>CLO 2:</w:t>
      </w:r>
      <w:r w:rsidRPr="00A44384">
        <w:rPr>
          <w:rFonts w:ascii="Calibri" w:eastAsia="Times New Roman" w:hAnsi="Calibri" w:cs="Calibri"/>
          <w:color w:val="333333"/>
        </w:rPr>
        <w:t> </w:t>
      </w:r>
      <w:r w:rsidRPr="00A44384">
        <w:rPr>
          <w:rFonts w:ascii="Times New Roman" w:eastAsia="Times New Roman" w:hAnsi="Times New Roman" w:cs="Times New Roman"/>
          <w:color w:val="333333"/>
          <w:sz w:val="24"/>
          <w:szCs w:val="24"/>
        </w:rPr>
        <w:t>In a given situation, the students will be able to </w:t>
      </w:r>
      <w:r w:rsidRPr="00A44384">
        <w:rPr>
          <w:rFonts w:ascii="Times New Roman" w:eastAsia="Times New Roman" w:hAnsi="Times New Roman" w:cs="Times New Roman"/>
          <w:color w:val="000000"/>
          <w:sz w:val="24"/>
          <w:szCs w:val="24"/>
        </w:rPr>
        <w:t>able to understand why interest rate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 xml:space="preserve">      is an input to decision-making process for </w:t>
      </w:r>
      <w:proofErr w:type="gramStart"/>
      <w:r w:rsidRPr="00A44384">
        <w:rPr>
          <w:rFonts w:ascii="Times New Roman" w:eastAsia="Times New Roman" w:hAnsi="Times New Roman" w:cs="Times New Roman"/>
          <w:color w:val="000000"/>
          <w:sz w:val="24"/>
          <w:szCs w:val="24"/>
        </w:rPr>
        <w:t>managers.</w:t>
      </w:r>
      <w:proofErr w:type="gramEnd"/>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2F2F2F"/>
          <w:sz w:val="24"/>
          <w:szCs w:val="24"/>
        </w:rPr>
        <w:t>      CLO 3: </w:t>
      </w:r>
      <w:r w:rsidRPr="00A44384">
        <w:rPr>
          <w:rFonts w:ascii="Times New Roman" w:eastAsia="Times New Roman" w:hAnsi="Times New Roman" w:cs="Times New Roman"/>
          <w:color w:val="333333"/>
          <w:sz w:val="24"/>
          <w:szCs w:val="24"/>
        </w:rPr>
        <w:t>In a given situation, the students will be able to </w:t>
      </w:r>
      <w:r w:rsidRPr="00A44384">
        <w:rPr>
          <w:rFonts w:ascii="Times New Roman" w:eastAsia="Times New Roman" w:hAnsi="Times New Roman" w:cs="Times New Roman"/>
          <w:color w:val="000000"/>
          <w:sz w:val="24"/>
          <w:szCs w:val="24"/>
        </w:rPr>
        <w:t>analyze the functioning of various</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      segments of the financial markets, institutions and instruments available.</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r w:rsidRPr="00A44384">
        <w:rPr>
          <w:rFonts w:ascii="Calibri" w:eastAsia="Times New Roman" w:hAnsi="Calibri" w:cs="Calibri"/>
          <w:color w:val="333333"/>
        </w:rPr>
        <w:t> </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000000"/>
          <w:sz w:val="24"/>
          <w:szCs w:val="24"/>
        </w:rPr>
        <w:t>Readings Materials, Prescribed Text Book, Reference Book, References, and Important Websites details.</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b/>
          <w:bCs/>
          <w:i/>
          <w:iCs/>
          <w:color w:val="000000"/>
          <w:sz w:val="24"/>
          <w:szCs w:val="24"/>
        </w:rPr>
        <w:t>Prescribed Book</w:t>
      </w:r>
    </w:p>
    <w:p w:rsidR="00A44384" w:rsidRPr="00A44384" w:rsidRDefault="00A44384" w:rsidP="00A44384">
      <w:pPr>
        <w:numPr>
          <w:ilvl w:val="0"/>
          <w:numId w:val="3"/>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44384">
        <w:rPr>
          <w:rFonts w:ascii="Book Antiqua" w:eastAsia="Times New Roman" w:hAnsi="Book Antiqua" w:cs="Calibri"/>
          <w:color w:val="000000"/>
          <w:sz w:val="24"/>
          <w:szCs w:val="24"/>
        </w:rPr>
        <w:t>Financial Markets and Institutions (</w:t>
      </w:r>
      <w:r w:rsidRPr="00A44384">
        <w:rPr>
          <w:rFonts w:ascii="Times New Roman" w:eastAsia="Times New Roman" w:hAnsi="Times New Roman" w:cs="Times New Roman"/>
          <w:color w:val="333333"/>
          <w:sz w:val="24"/>
          <w:szCs w:val="24"/>
        </w:rPr>
        <w:t>13</w:t>
      </w:r>
      <w:r w:rsidRPr="00A44384">
        <w:rPr>
          <w:rFonts w:ascii="Times New Roman" w:eastAsia="Times New Roman" w:hAnsi="Times New Roman" w:cs="Times New Roman"/>
          <w:color w:val="333333"/>
          <w:sz w:val="18"/>
          <w:szCs w:val="18"/>
          <w:vertAlign w:val="superscript"/>
        </w:rPr>
        <w:t>th</w:t>
      </w:r>
      <w:r w:rsidRPr="00A44384">
        <w:rPr>
          <w:rFonts w:ascii="Times New Roman" w:eastAsia="Times New Roman" w:hAnsi="Times New Roman" w:cs="Times New Roman"/>
          <w:color w:val="333333"/>
          <w:sz w:val="24"/>
          <w:szCs w:val="24"/>
        </w:rPr>
        <w:t> Edition) by Jeff Madura – Cengage Pub. (JM)</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b/>
          <w:bCs/>
          <w:i/>
          <w:iCs/>
          <w:color w:val="333333"/>
          <w:sz w:val="24"/>
          <w:szCs w:val="24"/>
        </w:rPr>
        <w:t>Reference Book</w:t>
      </w:r>
    </w:p>
    <w:p w:rsidR="00A44384" w:rsidRPr="00A44384" w:rsidRDefault="00A44384" w:rsidP="00A44384">
      <w:pPr>
        <w:numPr>
          <w:ilvl w:val="0"/>
          <w:numId w:val="4"/>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 xml:space="preserve">Financial Market And Institutions by </w:t>
      </w:r>
      <w:proofErr w:type="spellStart"/>
      <w:proofErr w:type="gramStart"/>
      <w:r w:rsidRPr="00A44384">
        <w:rPr>
          <w:rFonts w:ascii="Times New Roman" w:eastAsia="Times New Roman" w:hAnsi="Times New Roman" w:cs="Times New Roman"/>
          <w:color w:val="333333"/>
          <w:sz w:val="24"/>
          <w:szCs w:val="24"/>
        </w:rPr>
        <w:t>Mishkin,Eakins</w:t>
      </w:r>
      <w:proofErr w:type="spellEnd"/>
      <w:proofErr w:type="gramEnd"/>
      <w:r w:rsidRPr="00A44384">
        <w:rPr>
          <w:rFonts w:ascii="Times New Roman" w:eastAsia="Times New Roman" w:hAnsi="Times New Roman" w:cs="Times New Roman"/>
          <w:color w:val="333333"/>
          <w:sz w:val="24"/>
          <w:szCs w:val="24"/>
        </w:rPr>
        <w:t xml:space="preserve">, T Jayakumar &amp; </w:t>
      </w:r>
      <w:proofErr w:type="spellStart"/>
      <w:r w:rsidRPr="00A44384">
        <w:rPr>
          <w:rFonts w:ascii="Times New Roman" w:eastAsia="Times New Roman" w:hAnsi="Times New Roman" w:cs="Times New Roman"/>
          <w:color w:val="333333"/>
          <w:sz w:val="24"/>
          <w:szCs w:val="24"/>
        </w:rPr>
        <w:t>R.K.Pattanaik</w:t>
      </w:r>
      <w:proofErr w:type="spellEnd"/>
      <w:r w:rsidRPr="00A44384">
        <w:rPr>
          <w:rFonts w:ascii="Times New Roman" w:eastAsia="Times New Roman" w:hAnsi="Times New Roman" w:cs="Times New Roman"/>
          <w:color w:val="333333"/>
          <w:sz w:val="24"/>
          <w:szCs w:val="24"/>
        </w:rPr>
        <w:t>-Pearson 8</w:t>
      </w:r>
      <w:r w:rsidRPr="00A44384">
        <w:rPr>
          <w:rFonts w:ascii="Times New Roman" w:eastAsia="Times New Roman" w:hAnsi="Times New Roman" w:cs="Times New Roman"/>
          <w:color w:val="333333"/>
          <w:sz w:val="18"/>
          <w:szCs w:val="18"/>
          <w:vertAlign w:val="superscript"/>
        </w:rPr>
        <w:t>th</w:t>
      </w:r>
      <w:r w:rsidRPr="00A44384">
        <w:rPr>
          <w:rFonts w:ascii="Times New Roman" w:eastAsia="Times New Roman" w:hAnsi="Times New Roman" w:cs="Times New Roman"/>
          <w:color w:val="333333"/>
          <w:sz w:val="24"/>
          <w:szCs w:val="24"/>
        </w:rPr>
        <w:t> ed.</w:t>
      </w:r>
    </w:p>
    <w:p w:rsidR="00A44384" w:rsidRPr="00A44384" w:rsidRDefault="00A44384" w:rsidP="00A44384">
      <w:pPr>
        <w:numPr>
          <w:ilvl w:val="0"/>
          <w:numId w:val="4"/>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 xml:space="preserve">Finance and Financial Markets by Keith </w:t>
      </w:r>
      <w:proofErr w:type="spellStart"/>
      <w:r w:rsidRPr="00A44384">
        <w:rPr>
          <w:rFonts w:ascii="Times New Roman" w:eastAsia="Times New Roman" w:hAnsi="Times New Roman" w:cs="Times New Roman"/>
          <w:color w:val="333333"/>
          <w:sz w:val="24"/>
          <w:szCs w:val="24"/>
        </w:rPr>
        <w:t>Pilbeam</w:t>
      </w:r>
      <w:proofErr w:type="spellEnd"/>
      <w:r w:rsidRPr="00A44384">
        <w:rPr>
          <w:rFonts w:ascii="Times New Roman" w:eastAsia="Times New Roman" w:hAnsi="Times New Roman" w:cs="Times New Roman"/>
          <w:color w:val="333333"/>
          <w:sz w:val="24"/>
          <w:szCs w:val="24"/>
        </w:rPr>
        <w:t>-MacMillan Pub. (KB)</w:t>
      </w:r>
    </w:p>
    <w:p w:rsidR="00A44384" w:rsidRPr="00A44384" w:rsidRDefault="00A44384" w:rsidP="00A44384">
      <w:pPr>
        <w:numPr>
          <w:ilvl w:val="0"/>
          <w:numId w:val="4"/>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 xml:space="preserve">Financial Institutions &amp; Markets by </w:t>
      </w:r>
      <w:proofErr w:type="spellStart"/>
      <w:r w:rsidRPr="00A44384">
        <w:rPr>
          <w:rFonts w:ascii="Times New Roman" w:eastAsia="Times New Roman" w:hAnsi="Times New Roman" w:cs="Times New Roman"/>
          <w:color w:val="333333"/>
          <w:sz w:val="24"/>
          <w:szCs w:val="24"/>
        </w:rPr>
        <w:t>Bhole</w:t>
      </w:r>
      <w:proofErr w:type="spellEnd"/>
      <w:r w:rsidRPr="00A44384">
        <w:rPr>
          <w:rFonts w:ascii="Times New Roman" w:eastAsia="Times New Roman" w:hAnsi="Times New Roman" w:cs="Times New Roman"/>
          <w:color w:val="333333"/>
          <w:sz w:val="24"/>
          <w:szCs w:val="24"/>
        </w:rPr>
        <w:t xml:space="preserve"> &amp; </w:t>
      </w:r>
      <w:proofErr w:type="spellStart"/>
      <w:r w:rsidRPr="00A44384">
        <w:rPr>
          <w:rFonts w:ascii="Times New Roman" w:eastAsia="Times New Roman" w:hAnsi="Times New Roman" w:cs="Times New Roman"/>
          <w:color w:val="333333"/>
          <w:sz w:val="24"/>
          <w:szCs w:val="24"/>
        </w:rPr>
        <w:t>Mahakud</w:t>
      </w:r>
      <w:proofErr w:type="spellEnd"/>
      <w:r w:rsidRPr="00A44384">
        <w:rPr>
          <w:rFonts w:ascii="Times New Roman" w:eastAsia="Times New Roman" w:hAnsi="Times New Roman" w:cs="Times New Roman"/>
          <w:color w:val="333333"/>
          <w:sz w:val="24"/>
          <w:szCs w:val="24"/>
        </w:rPr>
        <w:t>- Tata McGraw Hill-latest ed</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i/>
          <w:iCs/>
          <w:color w:val="333333"/>
          <w:sz w:val="24"/>
          <w:szCs w:val="24"/>
        </w:rPr>
        <w:t>References</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Annual Report of SEBI.</w:t>
      </w:r>
    </w:p>
    <w:p w:rsidR="00A44384" w:rsidRPr="00A44384" w:rsidRDefault="00A44384" w:rsidP="00A44384">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Annual Report- Reserve Bank of India.</w:t>
      </w:r>
    </w:p>
    <w:p w:rsidR="00A44384" w:rsidRPr="00A44384" w:rsidRDefault="00A44384" w:rsidP="00A44384">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333333"/>
          <w:sz w:val="24"/>
          <w:szCs w:val="24"/>
        </w:rPr>
        <w:t>Annual Report of Ministry of Finance, GOI.</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lastRenderedPageBreak/>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i/>
          <w:iCs/>
          <w:color w:val="333333"/>
          <w:sz w:val="24"/>
          <w:szCs w:val="24"/>
        </w:rPr>
        <w:t>Important Financial Web Address</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hyperlink r:id="rId5" w:history="1">
        <w:r w:rsidRPr="00A44384">
          <w:rPr>
            <w:rFonts w:ascii="Times New Roman" w:eastAsia="Times New Roman" w:hAnsi="Times New Roman" w:cs="Times New Roman"/>
            <w:i/>
            <w:iCs/>
            <w:color w:val="000000"/>
            <w:sz w:val="24"/>
            <w:szCs w:val="24"/>
            <w:u w:val="single"/>
          </w:rPr>
          <w:t>www.livemint.com</w:t>
        </w:r>
      </w:hyperlink>
      <w:r w:rsidRPr="00A44384">
        <w:rPr>
          <w:rFonts w:ascii="Times New Roman" w:eastAsia="Times New Roman" w:hAnsi="Times New Roman" w:cs="Times New Roman"/>
          <w:i/>
          <w:iCs/>
          <w:color w:val="000000"/>
          <w:sz w:val="24"/>
          <w:szCs w:val="24"/>
          <w:u w:val="single"/>
        </w:rPr>
        <w:t>.</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r w:rsidRPr="00A44384">
        <w:rPr>
          <w:rFonts w:ascii="Times New Roman" w:eastAsia="Times New Roman" w:hAnsi="Times New Roman" w:cs="Times New Roman"/>
          <w:i/>
          <w:iCs/>
          <w:color w:val="000000"/>
          <w:sz w:val="24"/>
          <w:szCs w:val="24"/>
          <w:u w:val="single"/>
        </w:rPr>
        <w:t>www.rbi.org.in/Scripts/financialmarketswatch</w:t>
      </w:r>
      <w:r w:rsidRPr="00A44384">
        <w:rPr>
          <w:rFonts w:ascii="Calibri" w:eastAsia="Times New Roman" w:hAnsi="Calibri" w:cs="Calibri"/>
          <w:color w:val="333333"/>
        </w:rPr>
        <w:br/>
      </w:r>
      <w:hyperlink r:id="rId6" w:history="1">
        <w:r w:rsidRPr="00A44384">
          <w:rPr>
            <w:rFonts w:ascii="Times New Roman" w:eastAsia="Times New Roman" w:hAnsi="Times New Roman" w:cs="Times New Roman"/>
            <w:i/>
            <w:iCs/>
            <w:color w:val="000000"/>
            <w:sz w:val="24"/>
            <w:szCs w:val="24"/>
            <w:u w:val="single"/>
          </w:rPr>
          <w:t>http://www.fimmda.org/</w:t>
        </w:r>
      </w:hyperlink>
      <w:r w:rsidRPr="00A44384">
        <w:rPr>
          <w:rFonts w:ascii="Times New Roman" w:eastAsia="Times New Roman" w:hAnsi="Times New Roman" w:cs="Times New Roman"/>
          <w:i/>
          <w:iCs/>
          <w:color w:val="000000"/>
          <w:sz w:val="24"/>
          <w:szCs w:val="24"/>
        </w:rPr>
        <w:t>,  note: FIMMDA stands for Fixed Income Money Market and Derivatives Association of India.</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hyperlink r:id="rId7" w:history="1">
        <w:r w:rsidRPr="00A44384">
          <w:rPr>
            <w:rFonts w:ascii="Times New Roman" w:eastAsia="Times New Roman" w:hAnsi="Times New Roman" w:cs="Times New Roman"/>
            <w:i/>
            <w:iCs/>
            <w:color w:val="000000"/>
            <w:sz w:val="24"/>
            <w:szCs w:val="24"/>
            <w:u w:val="single"/>
          </w:rPr>
          <w:t>http://www.ccilindia.com/OMHome.aspx</w:t>
        </w:r>
      </w:hyperlink>
      <w:r w:rsidRPr="00A44384">
        <w:rPr>
          <w:rFonts w:ascii="Times New Roman" w:eastAsia="Times New Roman" w:hAnsi="Times New Roman" w:cs="Times New Roman"/>
          <w:i/>
          <w:iCs/>
          <w:color w:val="000000"/>
          <w:sz w:val="24"/>
          <w:szCs w:val="24"/>
        </w:rPr>
        <w:t>, note CCIL stands for Clearing Corporation of India Ltd.</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hyperlink r:id="rId8" w:history="1">
        <w:r w:rsidRPr="00A44384">
          <w:rPr>
            <w:rFonts w:ascii="Times New Roman" w:eastAsia="Times New Roman" w:hAnsi="Times New Roman" w:cs="Times New Roman"/>
            <w:i/>
            <w:iCs/>
            <w:color w:val="000000"/>
            <w:sz w:val="24"/>
            <w:szCs w:val="24"/>
            <w:u w:val="single"/>
          </w:rPr>
          <w:t>www.amfiindia.com</w:t>
        </w:r>
      </w:hyperlink>
      <w:r w:rsidRPr="00A44384">
        <w:rPr>
          <w:rFonts w:ascii="Times New Roman" w:eastAsia="Times New Roman" w:hAnsi="Times New Roman" w:cs="Times New Roman"/>
          <w:i/>
          <w:iCs/>
          <w:color w:val="000000"/>
          <w:sz w:val="24"/>
          <w:szCs w:val="24"/>
        </w:rPr>
        <w:t>, note AMFI stands for Association of Mutual Funds in India.</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hyperlink r:id="rId9" w:history="1">
        <w:r w:rsidRPr="00A44384">
          <w:rPr>
            <w:rFonts w:ascii="Times New Roman" w:eastAsia="Times New Roman" w:hAnsi="Times New Roman" w:cs="Times New Roman"/>
            <w:i/>
            <w:iCs/>
            <w:color w:val="000000"/>
            <w:sz w:val="24"/>
            <w:szCs w:val="24"/>
            <w:u w:val="single"/>
          </w:rPr>
          <w:t>http://www.stcipd.com/</w:t>
        </w:r>
      </w:hyperlink>
      <w:r w:rsidRPr="00A44384">
        <w:rPr>
          <w:rFonts w:ascii="Times New Roman" w:eastAsia="Times New Roman" w:hAnsi="Times New Roman" w:cs="Times New Roman"/>
          <w:i/>
          <w:iCs/>
          <w:color w:val="000000"/>
          <w:sz w:val="24"/>
          <w:szCs w:val="24"/>
        </w:rPr>
        <w:t>, note STCIPD stands for STCI Primary Dealer Ltd.</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hyperlink r:id="rId10" w:history="1">
        <w:r w:rsidRPr="00A44384">
          <w:rPr>
            <w:rFonts w:ascii="Times New Roman" w:eastAsia="Times New Roman" w:hAnsi="Times New Roman" w:cs="Times New Roman"/>
            <w:i/>
            <w:iCs/>
            <w:color w:val="000000"/>
            <w:sz w:val="24"/>
            <w:szCs w:val="24"/>
            <w:u w:val="single"/>
          </w:rPr>
          <w:t>http://www.nseindia.com/</w:t>
        </w:r>
      </w:hyperlink>
      <w:r w:rsidRPr="00A44384">
        <w:rPr>
          <w:rFonts w:ascii="Times New Roman" w:eastAsia="Times New Roman" w:hAnsi="Times New Roman" w:cs="Times New Roman"/>
          <w:i/>
          <w:iCs/>
          <w:color w:val="000000"/>
          <w:sz w:val="24"/>
          <w:szCs w:val="24"/>
        </w:rPr>
        <w:t>,  Note NSE stands for National Stock Exchange India Ltd.</w:t>
      </w:r>
    </w:p>
    <w:p w:rsidR="00A44384" w:rsidRPr="00A44384" w:rsidRDefault="00A44384" w:rsidP="00A44384">
      <w:pPr>
        <w:shd w:val="clear" w:color="auto" w:fill="F5F5F5"/>
        <w:spacing w:after="150" w:line="240" w:lineRule="auto"/>
        <w:ind w:left="720"/>
        <w:jc w:val="both"/>
        <w:rPr>
          <w:rFonts w:ascii="open sans" w:eastAsia="Times New Roman" w:hAnsi="open sans" w:cs="Times New Roman"/>
          <w:color w:val="333333"/>
          <w:sz w:val="21"/>
          <w:szCs w:val="21"/>
        </w:rPr>
      </w:pPr>
      <w:hyperlink r:id="rId11" w:history="1">
        <w:r w:rsidRPr="00A44384">
          <w:rPr>
            <w:rFonts w:ascii="Times New Roman" w:eastAsia="Times New Roman" w:hAnsi="Times New Roman" w:cs="Times New Roman"/>
            <w:i/>
            <w:iCs/>
            <w:color w:val="000000"/>
            <w:sz w:val="24"/>
            <w:szCs w:val="24"/>
            <w:u w:val="single"/>
          </w:rPr>
          <w:t>http://www.bseindia.com/</w:t>
        </w:r>
      </w:hyperlink>
      <w:r w:rsidRPr="00A44384">
        <w:rPr>
          <w:rFonts w:ascii="Times New Roman" w:eastAsia="Times New Roman" w:hAnsi="Times New Roman" w:cs="Times New Roman"/>
          <w:i/>
          <w:iCs/>
          <w:color w:val="000000"/>
          <w:sz w:val="24"/>
          <w:szCs w:val="24"/>
        </w:rPr>
        <w:t>, Note BSE stands for Bombay Stock Exchange India Ltd.</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Assessment Scheme</w:t>
      </w:r>
    </w:p>
    <w:p w:rsidR="00A44384" w:rsidRPr="00A44384" w:rsidRDefault="00A44384" w:rsidP="00A44384">
      <w:pPr>
        <w:shd w:val="clear" w:color="auto" w:fill="F5F5F5"/>
        <w:spacing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tbl>
      <w:tblPr>
        <w:tblW w:w="9345" w:type="dxa"/>
        <w:tblCellMar>
          <w:top w:w="15" w:type="dxa"/>
          <w:left w:w="15" w:type="dxa"/>
          <w:bottom w:w="15" w:type="dxa"/>
          <w:right w:w="15" w:type="dxa"/>
        </w:tblCellMar>
        <w:tblLook w:val="04A0" w:firstRow="1" w:lastRow="0" w:firstColumn="1" w:lastColumn="0" w:noHBand="0" w:noVBand="1"/>
      </w:tblPr>
      <w:tblGrid>
        <w:gridCol w:w="3055"/>
        <w:gridCol w:w="2337"/>
        <w:gridCol w:w="3953"/>
      </w:tblGrid>
      <w:tr w:rsidR="00A44384" w:rsidRPr="00A44384" w:rsidTr="00A44384">
        <w:tc>
          <w:tcPr>
            <w:tcW w:w="30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Component</w:t>
            </w:r>
          </w:p>
        </w:tc>
        <w:tc>
          <w:tcPr>
            <w:tcW w:w="23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Weightage (%)</w:t>
            </w:r>
          </w:p>
        </w:tc>
        <w:tc>
          <w:tcPr>
            <w:tcW w:w="396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Assessment of Course Learning Outcome(s) (CLO)</w:t>
            </w:r>
          </w:p>
        </w:tc>
      </w:tr>
      <w:tr w:rsidR="00A44384" w:rsidRPr="00A44384" w:rsidTr="00A44384">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Quiz I (after session 5)</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10%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CLO 1 &amp; CLO 2</w:t>
            </w:r>
          </w:p>
        </w:tc>
      </w:tr>
      <w:tr w:rsidR="00A44384" w:rsidRPr="00A44384" w:rsidTr="00A44384">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Quiz II (after session 12)</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10%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CLO 3</w:t>
            </w:r>
          </w:p>
        </w:tc>
      </w:tr>
      <w:tr w:rsidR="00A44384" w:rsidRPr="00A44384" w:rsidTr="00A44384">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Class Participation</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10%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CLO 1, CLO 2 &amp; CLO 3</w:t>
            </w:r>
          </w:p>
        </w:tc>
      </w:tr>
      <w:tr w:rsidR="00A44384" w:rsidRPr="00A44384" w:rsidTr="00A44384">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Individual Assignment</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15%</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CLO 1, CLO 2 &amp; CLO 3</w:t>
            </w:r>
          </w:p>
        </w:tc>
      </w:tr>
      <w:tr w:rsidR="00A44384" w:rsidRPr="00A44384" w:rsidTr="00A44384">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Group Assignment</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15%</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CLO 1, CLO 2 &amp; CLO 3</w:t>
            </w:r>
          </w:p>
        </w:tc>
      </w:tr>
      <w:tr w:rsidR="00A44384" w:rsidRPr="00A44384" w:rsidTr="00A44384">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End-Term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40%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CLO 1, CLO 2 &amp; CLO 3</w:t>
            </w:r>
          </w:p>
        </w:tc>
      </w:tr>
    </w:tbl>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Pedagogy and Students Workload</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lastRenderedPageBreak/>
        <w:t>The course will be delivered through lectures as per the session wise schedule given below. Students are encouraged to read financial newspapers (Mint, Business Standard, </w:t>
      </w:r>
      <w:r w:rsidRPr="00A44384">
        <w:rPr>
          <w:rFonts w:ascii="Times New Roman" w:eastAsia="Times New Roman" w:hAnsi="Times New Roman" w:cs="Times New Roman"/>
          <w:i/>
          <w:iCs/>
          <w:color w:val="000000"/>
          <w:sz w:val="24"/>
          <w:szCs w:val="24"/>
        </w:rPr>
        <w:t>Business line, Economic Times, The Financial Express etc.</w:t>
      </w:r>
      <w:r w:rsidRPr="00A44384">
        <w:rPr>
          <w:rFonts w:ascii="Times New Roman" w:eastAsia="Times New Roman" w:hAnsi="Times New Roman" w:cs="Times New Roman"/>
          <w:color w:val="000000"/>
          <w:sz w:val="24"/>
          <w:szCs w:val="24"/>
        </w:rPr>
        <w:t>) and bring out points for discussion to the class to see the linkages between class lectures and what is happening in business world as well as regulatory environments.</w:t>
      </w:r>
      <w:r w:rsidRPr="00A44384">
        <w:rPr>
          <w:rFonts w:ascii="Times New Roman" w:eastAsia="Times New Roman" w:hAnsi="Times New Roman" w:cs="Times New Roman"/>
          <w:color w:val="333333"/>
          <w:sz w:val="24"/>
          <w:szCs w:val="24"/>
        </w:rPr>
        <w:t> In the lecture sessions, the students are expected to come to the class with acquaintance of pre-reading materials for effective learning outcomes. In projects preparation and presentation, each member of the group is expected to have active involvement.</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000000"/>
          <w:sz w:val="24"/>
          <w:szCs w:val="24"/>
        </w:rPr>
        <w:t>The quizzes will be of MCQ types. The end-term paper would cover entire course syllabus, and will test understanding of the subject. Group assignment details will be shared separately during the class.</w:t>
      </w:r>
    </w:p>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Academic Discipline and Integrity</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2F2F2F"/>
          <w:sz w:val="24"/>
          <w:szCs w:val="24"/>
        </w:rPr>
        <w:t>Students are expected to come to class on time. Academic Integrity will be adhered as per the norms and policy given by the Institute. No interchange of section attendance is permissible. Students are not allowed to use cell phone and laptop inside the class without permission of the faculty. Any plagiarism beyond 20% found in the submission (including reproduction from books,</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color w:val="2F2F2F"/>
          <w:sz w:val="24"/>
          <w:szCs w:val="24"/>
        </w:rPr>
        <w:t>online sources, journals or from peers) will NOT be accepted.</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8"/>
          <w:szCs w:val="28"/>
        </w:rPr>
        <w:t>Session Plan</w:t>
      </w:r>
    </w:p>
    <w:tbl>
      <w:tblPr>
        <w:tblpPr w:leftFromText="180" w:rightFromText="180" w:vertAnchor="text"/>
        <w:tblW w:w="10470" w:type="dxa"/>
        <w:tblCellMar>
          <w:top w:w="15" w:type="dxa"/>
          <w:left w:w="15" w:type="dxa"/>
          <w:bottom w:w="15" w:type="dxa"/>
          <w:right w:w="15" w:type="dxa"/>
        </w:tblCellMar>
        <w:tblLook w:val="04A0" w:firstRow="1" w:lastRow="0" w:firstColumn="1" w:lastColumn="0" w:noHBand="0" w:noVBand="1"/>
      </w:tblPr>
      <w:tblGrid>
        <w:gridCol w:w="1352"/>
        <w:gridCol w:w="3185"/>
        <w:gridCol w:w="3515"/>
        <w:gridCol w:w="2418"/>
      </w:tblGrid>
      <w:tr w:rsidR="00A44384" w:rsidRPr="00A44384" w:rsidTr="00A44384">
        <w:trPr>
          <w:trHeight w:val="510"/>
        </w:trPr>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b/>
                <w:bCs/>
              </w:rPr>
              <w:t>Session</w:t>
            </w:r>
          </w:p>
        </w:tc>
        <w:tc>
          <w:tcPr>
            <w:tcW w:w="318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b/>
                <w:bCs/>
              </w:rPr>
              <w:t>Topics covered</w:t>
            </w:r>
          </w:p>
        </w:tc>
        <w:tc>
          <w:tcPr>
            <w:tcW w:w="351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b/>
                <w:bCs/>
              </w:rPr>
              <w:t>Session Learnings</w:t>
            </w:r>
          </w:p>
        </w:tc>
        <w:tc>
          <w:tcPr>
            <w:tcW w:w="2415"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b/>
                <w:bCs/>
              </w:rPr>
              <w:t>Readings</w:t>
            </w:r>
          </w:p>
        </w:tc>
      </w:tr>
      <w:tr w:rsidR="00A44384" w:rsidRPr="00A44384" w:rsidTr="00A44384">
        <w:trPr>
          <w:trHeight w:val="145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1</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An Overview of Indian Financial System</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This session will focus on discussing of how Indian financial system works, and will discuss how different stakeholders are driving the functioning of the market. Context of the discussion will be from a manager’s perspective who is looking for sources of capital to invest. Special emphasis will be given on flow of financial assets and liabilities.</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proofErr w:type="gramStart"/>
            <w:r w:rsidRPr="00A44384">
              <w:rPr>
                <w:rFonts w:ascii="Times New Roman" w:eastAsia="Times New Roman" w:hAnsi="Times New Roman" w:cs="Times New Roman"/>
              </w:rPr>
              <w:t>JM :</w:t>
            </w:r>
            <w:proofErr w:type="gramEnd"/>
            <w:r w:rsidRPr="00A44384">
              <w:rPr>
                <w:rFonts w:ascii="Times New Roman" w:eastAsia="Times New Roman" w:hAnsi="Times New Roman" w:cs="Times New Roman"/>
              </w:rPr>
              <w:t xml:space="preserve"> Ch 1</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KB: Ch 1</w:t>
            </w:r>
          </w:p>
        </w:tc>
      </w:tr>
      <w:tr w:rsidR="00A44384" w:rsidRPr="00A44384" w:rsidTr="00A44384">
        <w:trPr>
          <w:trHeight w:val="60"/>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2 &amp; 3</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Role of Markets and Implications of the Market Imperfections</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This session will focus on role markets perform in allocating financial resources. Given that markets are prone to failure, this session will cover basics of market failure and what are the implications.</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Readings to be given</w:t>
            </w:r>
          </w:p>
        </w:tc>
      </w:tr>
      <w:tr w:rsidR="00A44384" w:rsidRPr="00A44384" w:rsidTr="00A44384">
        <w:trPr>
          <w:trHeight w:val="241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lastRenderedPageBreak/>
              <w:t>Session          4 &amp; 5</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Understanding Interest Rate</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These sessions will discuss the drivers of interest rate, and how the existing regulatory framework signals to the business managers. Besides, we will also discuss how managers need to take interest rate as an input for their decision-making process. The session will also cover basic financial mathematics.</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proofErr w:type="gramStart"/>
            <w:r w:rsidRPr="00A44384">
              <w:rPr>
                <w:rFonts w:ascii="Times New Roman" w:eastAsia="Times New Roman" w:hAnsi="Times New Roman" w:cs="Times New Roman"/>
              </w:rPr>
              <w:t>JM :</w:t>
            </w:r>
            <w:proofErr w:type="gramEnd"/>
            <w:r w:rsidRPr="00A44384">
              <w:rPr>
                <w:rFonts w:ascii="Times New Roman" w:eastAsia="Times New Roman" w:hAnsi="Times New Roman" w:cs="Times New Roman"/>
              </w:rPr>
              <w:t xml:space="preserve"> Ch 2 &amp; 3</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KB: Ch 4</w:t>
            </w:r>
          </w:p>
        </w:tc>
      </w:tr>
      <w:tr w:rsidR="00A44384" w:rsidRPr="00A44384" w:rsidTr="00A44384">
        <w:trPr>
          <w:trHeight w:val="253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6</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Understanding Money Market and Institutions</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These sessions will discuss who are the players in money market, and how does it work. Basic understanding on Repo Market, T-Bill Market, Commercial Papers, Certificate of Deposits and Bills market will be dealt. we will discuss how the dynamics in money markets affect the interest rate and pricing of money market instruments.</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proofErr w:type="gramStart"/>
            <w:r w:rsidRPr="00A44384">
              <w:rPr>
                <w:rFonts w:ascii="Times New Roman" w:eastAsia="Times New Roman" w:hAnsi="Times New Roman" w:cs="Times New Roman"/>
              </w:rPr>
              <w:t>JM :</w:t>
            </w:r>
            <w:proofErr w:type="gramEnd"/>
            <w:r w:rsidRPr="00A44384">
              <w:rPr>
                <w:rFonts w:ascii="Times New Roman" w:eastAsia="Times New Roman" w:hAnsi="Times New Roman" w:cs="Times New Roman"/>
              </w:rPr>
              <w:t xml:space="preserve"> Ch 6</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KB: Ch 5</w:t>
            </w:r>
          </w:p>
        </w:tc>
      </w:tr>
      <w:tr w:rsidR="00A44384" w:rsidRPr="00A44384" w:rsidTr="00A44384">
        <w:trPr>
          <w:trHeight w:val="136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7 &amp; 8</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Understanding Bond Market and Institutions</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These sessions will discuss the instruments available in bond market, and how does it work. Besides, we will discuss the relationship between price of the bond and interest rate.</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proofErr w:type="gramStart"/>
            <w:r w:rsidRPr="00A44384">
              <w:rPr>
                <w:rFonts w:ascii="Times New Roman" w:eastAsia="Times New Roman" w:hAnsi="Times New Roman" w:cs="Times New Roman"/>
              </w:rPr>
              <w:t>JM :</w:t>
            </w:r>
            <w:proofErr w:type="gramEnd"/>
            <w:r w:rsidRPr="00A44384">
              <w:rPr>
                <w:rFonts w:ascii="Times New Roman" w:eastAsia="Times New Roman" w:hAnsi="Times New Roman" w:cs="Times New Roman"/>
              </w:rPr>
              <w:t xml:space="preserve"> Ch 7 &amp; 8</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KB: 6</w:t>
            </w:r>
          </w:p>
        </w:tc>
      </w:tr>
      <w:tr w:rsidR="00A44384" w:rsidRPr="00A44384" w:rsidTr="00A44384">
        <w:trPr>
          <w:trHeight w:val="1860"/>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9</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Understanding Stock Market and Institutions</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This session will discuss how stock market works, and how does it signal to managers. Besides, we will discuss about the process and pricing of initial public offering (IPO), follow up public offerings (FPO), and private placement process.</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proofErr w:type="gramStart"/>
            <w:r w:rsidRPr="00A44384">
              <w:rPr>
                <w:rFonts w:ascii="Times New Roman" w:eastAsia="Times New Roman" w:hAnsi="Times New Roman" w:cs="Times New Roman"/>
              </w:rPr>
              <w:t>JM :</w:t>
            </w:r>
            <w:proofErr w:type="gramEnd"/>
            <w:r w:rsidRPr="00A44384">
              <w:rPr>
                <w:rFonts w:ascii="Times New Roman" w:eastAsia="Times New Roman" w:hAnsi="Times New Roman" w:cs="Times New Roman"/>
              </w:rPr>
              <w:t xml:space="preserve"> Ch 10 &amp; 11</w:t>
            </w:r>
          </w:p>
        </w:tc>
      </w:tr>
      <w:tr w:rsidR="00A44384" w:rsidRPr="00A44384" w:rsidTr="00A44384">
        <w:trPr>
          <w:trHeight w:val="43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10</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Understanding Alternative Sources of Risky Capital</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 xml:space="preserve">This session will discuss alternative sources of risk capital like private equity, </w:t>
            </w:r>
            <w:proofErr w:type="spellStart"/>
            <w:r w:rsidRPr="00A44384">
              <w:rPr>
                <w:rFonts w:ascii="Times New Roman" w:eastAsia="Times New Roman" w:hAnsi="Times New Roman" w:cs="Times New Roman"/>
                <w:color w:val="000000"/>
              </w:rPr>
              <w:t>InVIT</w:t>
            </w:r>
            <w:proofErr w:type="spellEnd"/>
            <w:r w:rsidRPr="00A44384">
              <w:rPr>
                <w:rFonts w:ascii="Times New Roman" w:eastAsia="Times New Roman" w:hAnsi="Times New Roman" w:cs="Times New Roman"/>
                <w:color w:val="000000"/>
              </w:rPr>
              <w:t>, REIT and how does this market work. This discussion will be at very basic level.</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Readings to be given</w:t>
            </w:r>
          </w:p>
        </w:tc>
      </w:tr>
      <w:tr w:rsidR="00A44384" w:rsidRPr="00A44384" w:rsidTr="00A44384">
        <w:trPr>
          <w:trHeight w:val="1260"/>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11</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Dynamics of Borrowing in G-Sec Market</w:t>
            </w:r>
          </w:p>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This session will the dynamics of G-Sec markets</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Readings to be given</w:t>
            </w:r>
          </w:p>
        </w:tc>
      </w:tr>
      <w:tr w:rsidR="00A44384" w:rsidRPr="00A44384" w:rsidTr="00A44384">
        <w:trPr>
          <w:trHeight w:val="133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12</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Basics</w:t>
            </w:r>
          </w:p>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of Commercial Baking</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This session will discuss the basics of commercial banking.</w:t>
            </w:r>
          </w:p>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proofErr w:type="gramStart"/>
            <w:r w:rsidRPr="00A44384">
              <w:rPr>
                <w:rFonts w:ascii="Times New Roman" w:eastAsia="Times New Roman" w:hAnsi="Times New Roman" w:cs="Times New Roman"/>
              </w:rPr>
              <w:t>JM :</w:t>
            </w:r>
            <w:proofErr w:type="gramEnd"/>
            <w:r w:rsidRPr="00A44384">
              <w:rPr>
                <w:rFonts w:ascii="Times New Roman" w:eastAsia="Times New Roman" w:hAnsi="Times New Roman" w:cs="Times New Roman"/>
              </w:rPr>
              <w:t xml:space="preserve"> Ch 17,18,19 &amp; 20</w:t>
            </w:r>
          </w:p>
        </w:tc>
      </w:tr>
      <w:tr w:rsidR="00A44384" w:rsidRPr="00A44384" w:rsidTr="00A44384">
        <w:trPr>
          <w:trHeight w:val="133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lastRenderedPageBreak/>
              <w:t>Session      13</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Financial Intermediaries and Indirect Financial Market</w:t>
            </w:r>
          </w:p>
          <w:p w:rsidR="00A44384" w:rsidRPr="00A44384" w:rsidRDefault="00A44384" w:rsidP="00A44384">
            <w:pPr>
              <w:spacing w:after="150" w:line="240" w:lineRule="auto"/>
              <w:ind w:left="720"/>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This session will discuss the basic instruments offered by Commercial Banks, and the financial flows between Banks, Commercial sectors and Government Sector.</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KB: Ch 2</w:t>
            </w:r>
          </w:p>
        </w:tc>
      </w:tr>
      <w:tr w:rsidR="00A44384" w:rsidRPr="00A44384" w:rsidTr="00A44384">
        <w:trPr>
          <w:trHeight w:val="1065"/>
        </w:trPr>
        <w:tc>
          <w:tcPr>
            <w:tcW w:w="13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center"/>
              <w:rPr>
                <w:rFonts w:ascii="Times New Roman" w:eastAsia="Times New Roman" w:hAnsi="Times New Roman" w:cs="Times New Roman"/>
                <w:sz w:val="24"/>
                <w:szCs w:val="24"/>
              </w:rPr>
            </w:pPr>
            <w:r w:rsidRPr="00A44384">
              <w:rPr>
                <w:rFonts w:ascii="Times New Roman" w:eastAsia="Times New Roman" w:hAnsi="Times New Roman" w:cs="Times New Roman"/>
              </w:rPr>
              <w:t>Session 14</w:t>
            </w:r>
          </w:p>
        </w:tc>
        <w:tc>
          <w:tcPr>
            <w:tcW w:w="31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Regulatory aspect</w:t>
            </w:r>
          </w:p>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color w:val="000000"/>
                <w:sz w:val="24"/>
                <w:szCs w:val="24"/>
              </w:rPr>
              <w:t>of Financial market</w:t>
            </w:r>
          </w:p>
        </w:tc>
        <w:tc>
          <w:tcPr>
            <w:tcW w:w="35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These sessions will discuss the regulations with respect varied norms banking, insurance, stock market and mutual funds sector.</w:t>
            </w:r>
          </w:p>
        </w:tc>
        <w:tc>
          <w:tcPr>
            <w:tcW w:w="241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A44384" w:rsidRPr="00A44384" w:rsidRDefault="00A44384" w:rsidP="00A44384">
            <w:pPr>
              <w:spacing w:after="150" w:line="240" w:lineRule="auto"/>
              <w:rPr>
                <w:rFonts w:ascii="Times New Roman" w:eastAsia="Times New Roman" w:hAnsi="Times New Roman" w:cs="Times New Roman"/>
                <w:sz w:val="24"/>
                <w:szCs w:val="24"/>
              </w:rPr>
            </w:pPr>
            <w:r w:rsidRPr="00A44384">
              <w:rPr>
                <w:rFonts w:ascii="Times New Roman" w:eastAsia="Times New Roman" w:hAnsi="Times New Roman" w:cs="Times New Roman"/>
              </w:rPr>
              <w:t>Readings to be given</w:t>
            </w:r>
          </w:p>
        </w:tc>
      </w:tr>
    </w:tbl>
    <w:p w:rsidR="00A44384" w:rsidRPr="00A44384" w:rsidRDefault="00A44384" w:rsidP="00A44384">
      <w:pPr>
        <w:shd w:val="clear" w:color="auto" w:fill="F5F5F5"/>
        <w:spacing w:after="150" w:line="240" w:lineRule="auto"/>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p w:rsidR="00A44384" w:rsidRPr="00A44384" w:rsidRDefault="00A44384" w:rsidP="00A44384">
      <w:pPr>
        <w:shd w:val="clear" w:color="auto" w:fill="F5F5F5"/>
        <w:spacing w:after="150" w:line="240" w:lineRule="auto"/>
        <w:jc w:val="both"/>
        <w:rPr>
          <w:rFonts w:ascii="open sans" w:eastAsia="Times New Roman" w:hAnsi="open sans" w:cs="Times New Roman"/>
          <w:color w:val="333333"/>
          <w:sz w:val="21"/>
          <w:szCs w:val="21"/>
        </w:rPr>
      </w:pPr>
      <w:r w:rsidRPr="00A44384">
        <w:rPr>
          <w:rFonts w:ascii="Times New Roman" w:eastAsia="Times New Roman" w:hAnsi="Times New Roman" w:cs="Times New Roman"/>
          <w:b/>
          <w:bCs/>
          <w:color w:val="333333"/>
          <w:sz w:val="24"/>
          <w:szCs w:val="24"/>
        </w:rPr>
        <w:t>Mapping Course Leaning Outcomes (CLO) with the Program Learning Goals (PLG)</w:t>
      </w:r>
    </w:p>
    <w:p w:rsidR="00A44384" w:rsidRPr="00A44384" w:rsidRDefault="00A44384" w:rsidP="00A44384">
      <w:pPr>
        <w:shd w:val="clear" w:color="auto" w:fill="F5F5F5"/>
        <w:spacing w:line="240" w:lineRule="auto"/>
        <w:jc w:val="both"/>
        <w:rPr>
          <w:rFonts w:ascii="open sans" w:eastAsia="Times New Roman" w:hAnsi="open sans" w:cs="Times New Roman"/>
          <w:color w:val="333333"/>
          <w:sz w:val="21"/>
          <w:szCs w:val="21"/>
        </w:rPr>
      </w:pPr>
      <w:r w:rsidRPr="00A44384">
        <w:rPr>
          <w:rFonts w:ascii="open sans" w:eastAsia="Times New Roman" w:hAnsi="open sans" w:cs="Times New Roman"/>
          <w:color w:val="333333"/>
          <w:sz w:val="21"/>
          <w:szCs w:val="21"/>
        </w:rPr>
        <w:t> </w:t>
      </w:r>
    </w:p>
    <w:tbl>
      <w:tblPr>
        <w:tblW w:w="8805" w:type="dxa"/>
        <w:tblCellMar>
          <w:top w:w="15" w:type="dxa"/>
          <w:left w:w="15" w:type="dxa"/>
          <w:bottom w:w="15" w:type="dxa"/>
          <w:right w:w="15" w:type="dxa"/>
        </w:tblCellMar>
        <w:tblLook w:val="04A0" w:firstRow="1" w:lastRow="0" w:firstColumn="1" w:lastColumn="0" w:noHBand="0" w:noVBand="1"/>
      </w:tblPr>
      <w:tblGrid>
        <w:gridCol w:w="928"/>
        <w:gridCol w:w="1874"/>
        <w:gridCol w:w="3473"/>
        <w:gridCol w:w="1333"/>
        <w:gridCol w:w="1197"/>
      </w:tblGrid>
      <w:tr w:rsidR="00A44384" w:rsidRPr="00A44384" w:rsidTr="00A44384">
        <w:trPr>
          <w:trHeight w:val="285"/>
        </w:trPr>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PLG#</w:t>
            </w:r>
          </w:p>
        </w:tc>
        <w:tc>
          <w:tcPr>
            <w:tcW w:w="1875"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Program Learning Goal</w:t>
            </w:r>
          </w:p>
        </w:tc>
        <w:tc>
          <w:tcPr>
            <w:tcW w:w="348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Trait</w:t>
            </w:r>
          </w:p>
        </w:tc>
        <w:tc>
          <w:tcPr>
            <w:tcW w:w="2535" w:type="dxa"/>
            <w:gridSpan w:val="2"/>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Addressed by Course</w:t>
            </w:r>
          </w:p>
        </w:tc>
      </w:tr>
      <w:tr w:rsidR="00A44384" w:rsidRPr="00A44384" w:rsidTr="00A44384">
        <w:trPr>
          <w:trHeight w:val="135"/>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A44384" w:rsidRPr="00A44384" w:rsidRDefault="00A44384" w:rsidP="00A44384">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A44384" w:rsidRPr="00A44384" w:rsidRDefault="00A44384" w:rsidP="00A44384">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A44384" w:rsidRPr="00A44384" w:rsidRDefault="00A44384" w:rsidP="00A44384">
            <w:pPr>
              <w:spacing w:after="0" w:line="240" w:lineRule="auto"/>
              <w:rPr>
                <w:rFonts w:ascii="Times New Roman" w:eastAsia="Times New Roman" w:hAnsi="Times New Roman" w:cs="Times New Roman"/>
                <w:sz w:val="24"/>
                <w:szCs w:val="24"/>
              </w:rPr>
            </w:pPr>
          </w:p>
        </w:tc>
        <w:tc>
          <w:tcPr>
            <w:tcW w:w="13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Yes</w:t>
            </w:r>
          </w:p>
        </w:tc>
        <w:tc>
          <w:tcPr>
            <w:tcW w:w="120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b/>
                <w:bCs/>
              </w:rPr>
              <w:t>No</w:t>
            </w:r>
          </w:p>
        </w:tc>
      </w:tr>
      <w:tr w:rsidR="00A44384" w:rsidRPr="00A44384" w:rsidTr="00A44384">
        <w:trPr>
          <w:trHeight w:val="855"/>
        </w:trPr>
        <w:tc>
          <w:tcPr>
            <w:tcW w:w="93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PLG1</w:t>
            </w:r>
          </w:p>
        </w:tc>
        <w:tc>
          <w:tcPr>
            <w:tcW w:w="18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Functional and Business Skills</w:t>
            </w:r>
          </w:p>
        </w:tc>
        <w:tc>
          <w:tcPr>
            <w:tcW w:w="34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 students will demonstrate understanding of elements of all functional areas</w:t>
            </w:r>
          </w:p>
        </w:tc>
        <w:tc>
          <w:tcPr>
            <w:tcW w:w="13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Yes</w:t>
            </w:r>
          </w:p>
        </w:tc>
        <w:tc>
          <w:tcPr>
            <w:tcW w:w="120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r>
      <w:tr w:rsidR="00A44384" w:rsidRPr="00A44384" w:rsidTr="00A44384">
        <w:trPr>
          <w:trHeight w:val="840"/>
        </w:trPr>
        <w:tc>
          <w:tcPr>
            <w:tcW w:w="93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PLG2</w:t>
            </w:r>
          </w:p>
        </w:tc>
        <w:tc>
          <w:tcPr>
            <w:tcW w:w="18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Analytical Skills</w:t>
            </w:r>
          </w:p>
        </w:tc>
        <w:tc>
          <w:tcPr>
            <w:tcW w:w="34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 students will use analytical techniques to identify a business problem, and suggest a solution</w:t>
            </w:r>
          </w:p>
        </w:tc>
        <w:tc>
          <w:tcPr>
            <w:tcW w:w="13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Yes</w:t>
            </w:r>
          </w:p>
        </w:tc>
        <w:tc>
          <w:tcPr>
            <w:tcW w:w="120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r>
      <w:tr w:rsidR="00A44384" w:rsidRPr="00A44384" w:rsidTr="00A44384">
        <w:trPr>
          <w:trHeight w:val="855"/>
        </w:trPr>
        <w:tc>
          <w:tcPr>
            <w:tcW w:w="93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PLG3</w:t>
            </w:r>
          </w:p>
        </w:tc>
        <w:tc>
          <w:tcPr>
            <w:tcW w:w="18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Collaboration and teamwork attributes</w:t>
            </w:r>
          </w:p>
        </w:tc>
        <w:tc>
          <w:tcPr>
            <w:tcW w:w="34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 students will exhibit voluntary cooperation and effective teamwork in a group setting</w:t>
            </w:r>
          </w:p>
        </w:tc>
        <w:tc>
          <w:tcPr>
            <w:tcW w:w="13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No</w:t>
            </w:r>
          </w:p>
        </w:tc>
        <w:tc>
          <w:tcPr>
            <w:tcW w:w="120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r>
      <w:tr w:rsidR="00A44384" w:rsidRPr="00A44384" w:rsidTr="00A44384">
        <w:trPr>
          <w:trHeight w:val="1410"/>
        </w:trPr>
        <w:tc>
          <w:tcPr>
            <w:tcW w:w="93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PLG4</w:t>
            </w:r>
          </w:p>
        </w:tc>
        <w:tc>
          <w:tcPr>
            <w:tcW w:w="18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Ethical responsibility</w:t>
            </w:r>
          </w:p>
        </w:tc>
        <w:tc>
          <w:tcPr>
            <w:tcW w:w="34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 students will understand the ethical complexities of conducting business. The students will adopt techniques in scenarios involving ethical dilemma and offer resolution</w:t>
            </w:r>
          </w:p>
        </w:tc>
        <w:tc>
          <w:tcPr>
            <w:tcW w:w="13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No</w:t>
            </w:r>
          </w:p>
        </w:tc>
        <w:tc>
          <w:tcPr>
            <w:tcW w:w="120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r>
      <w:tr w:rsidR="00A44384" w:rsidRPr="00A44384" w:rsidTr="00A44384">
        <w:trPr>
          <w:trHeight w:val="840"/>
        </w:trPr>
        <w:tc>
          <w:tcPr>
            <w:tcW w:w="93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PLG5</w:t>
            </w:r>
          </w:p>
        </w:tc>
        <w:tc>
          <w:tcPr>
            <w:tcW w:w="18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Communication</w:t>
            </w:r>
          </w:p>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c>
          <w:tcPr>
            <w:tcW w:w="34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color w:val="000000"/>
              </w:rPr>
              <w:t>The students will produce reasonably good quality business documents. The students will become effective and confident communicators</w:t>
            </w:r>
          </w:p>
        </w:tc>
        <w:tc>
          <w:tcPr>
            <w:tcW w:w="13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rPr>
              <w:t>No</w:t>
            </w:r>
          </w:p>
        </w:tc>
        <w:tc>
          <w:tcPr>
            <w:tcW w:w="120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44384" w:rsidRPr="00A44384" w:rsidRDefault="00A44384" w:rsidP="00A44384">
            <w:pPr>
              <w:spacing w:after="150" w:line="240" w:lineRule="auto"/>
              <w:jc w:val="both"/>
              <w:rPr>
                <w:rFonts w:ascii="Times New Roman" w:eastAsia="Times New Roman" w:hAnsi="Times New Roman" w:cs="Times New Roman"/>
                <w:sz w:val="24"/>
                <w:szCs w:val="24"/>
              </w:rPr>
            </w:pPr>
            <w:r w:rsidRPr="00A44384">
              <w:rPr>
                <w:rFonts w:ascii="Times New Roman" w:eastAsia="Times New Roman" w:hAnsi="Times New Roman" w:cs="Times New Roman"/>
                <w:sz w:val="24"/>
                <w:szCs w:val="24"/>
              </w:rPr>
              <w:t> </w:t>
            </w:r>
          </w:p>
        </w:tc>
      </w:tr>
    </w:tbl>
    <w:p w:rsidR="00645312" w:rsidRDefault="00645312">
      <w:bookmarkStart w:id="0" w:name="_GoBack"/>
      <w:bookmarkEnd w:id="0"/>
    </w:p>
    <w:sectPr w:rsidR="006453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altName w:val="Times New Roman"/>
    <w:panose1 w:val="00000000000000000000"/>
    <w:charset w:val="00"/>
    <w:family w:val="roman"/>
    <w:notTrueType/>
    <w:pitch w:val="default"/>
  </w:font>
  <w:font w:name="crimson pro">
    <w:altName w:val="Cambria"/>
    <w:panose1 w:val="00000000000000000000"/>
    <w:charset w:val="00"/>
    <w:family w:val="roman"/>
    <w:notTrueType/>
    <w:pitch w:val="default"/>
  </w:font>
  <w:font w:name="Castellar">
    <w:panose1 w:val="020A0402060406010301"/>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5A243D"/>
    <w:multiLevelType w:val="multilevel"/>
    <w:tmpl w:val="BCF21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A666C5"/>
    <w:multiLevelType w:val="multilevel"/>
    <w:tmpl w:val="9D6CC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2D7A75"/>
    <w:multiLevelType w:val="multilevel"/>
    <w:tmpl w:val="7D36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513FA1"/>
    <w:multiLevelType w:val="multilevel"/>
    <w:tmpl w:val="88301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AE3020"/>
    <w:multiLevelType w:val="multilevel"/>
    <w:tmpl w:val="ECCCF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384"/>
    <w:rsid w:val="00645312"/>
    <w:rsid w:val="00A44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EAD0EB-B5EC-4A28-95F5-29B8B258A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A4438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4438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4438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4384"/>
    <w:rPr>
      <w:b/>
      <w:bCs/>
    </w:rPr>
  </w:style>
  <w:style w:type="character" w:styleId="Emphasis">
    <w:name w:val="Emphasis"/>
    <w:basedOn w:val="DefaultParagraphFont"/>
    <w:uiPriority w:val="20"/>
    <w:qFormat/>
    <w:rsid w:val="00A443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1117261">
      <w:bodyDiv w:val="1"/>
      <w:marLeft w:val="0"/>
      <w:marRight w:val="0"/>
      <w:marTop w:val="0"/>
      <w:marBottom w:val="0"/>
      <w:divBdr>
        <w:top w:val="none" w:sz="0" w:space="0" w:color="auto"/>
        <w:left w:val="none" w:sz="0" w:space="0" w:color="auto"/>
        <w:bottom w:val="none" w:sz="0" w:space="0" w:color="auto"/>
        <w:right w:val="none" w:sz="0" w:space="0" w:color="auto"/>
      </w:divBdr>
      <w:divsChild>
        <w:div w:id="2023046889">
          <w:marLeft w:val="0"/>
          <w:marRight w:val="0"/>
          <w:marTop w:val="0"/>
          <w:marBottom w:val="0"/>
          <w:divBdr>
            <w:top w:val="none" w:sz="0" w:space="0" w:color="auto"/>
            <w:left w:val="none" w:sz="0" w:space="0" w:color="auto"/>
            <w:bottom w:val="none" w:sz="0" w:space="0" w:color="auto"/>
            <w:right w:val="none" w:sz="0" w:space="0" w:color="auto"/>
          </w:divBdr>
          <w:divsChild>
            <w:div w:id="1771897289">
              <w:marLeft w:val="0"/>
              <w:marRight w:val="75"/>
              <w:marTop w:val="0"/>
              <w:marBottom w:val="0"/>
              <w:divBdr>
                <w:top w:val="none" w:sz="0" w:space="0" w:color="auto"/>
                <w:left w:val="none" w:sz="0" w:space="0" w:color="auto"/>
                <w:bottom w:val="none" w:sz="0" w:space="0" w:color="auto"/>
                <w:right w:val="none" w:sz="0" w:space="0" w:color="auto"/>
              </w:divBdr>
            </w:div>
          </w:divsChild>
        </w:div>
        <w:div w:id="78674600">
          <w:marLeft w:val="0"/>
          <w:marRight w:val="0"/>
          <w:marTop w:val="0"/>
          <w:marBottom w:val="0"/>
          <w:divBdr>
            <w:top w:val="none" w:sz="0" w:space="0" w:color="auto"/>
            <w:left w:val="none" w:sz="0" w:space="0" w:color="auto"/>
            <w:bottom w:val="none" w:sz="0" w:space="0" w:color="auto"/>
            <w:right w:val="none" w:sz="0" w:space="0" w:color="auto"/>
          </w:divBdr>
          <w:divsChild>
            <w:div w:id="275986589">
              <w:marLeft w:val="0"/>
              <w:marRight w:val="0"/>
              <w:marTop w:val="0"/>
              <w:marBottom w:val="0"/>
              <w:divBdr>
                <w:top w:val="none" w:sz="0" w:space="0" w:color="auto"/>
                <w:left w:val="none" w:sz="0" w:space="0" w:color="auto"/>
                <w:bottom w:val="none" w:sz="0" w:space="0" w:color="auto"/>
                <w:right w:val="none" w:sz="0" w:space="0" w:color="auto"/>
              </w:divBdr>
            </w:div>
          </w:divsChild>
        </w:div>
        <w:div w:id="653993720">
          <w:marLeft w:val="0"/>
          <w:marRight w:val="0"/>
          <w:marTop w:val="0"/>
          <w:marBottom w:val="0"/>
          <w:divBdr>
            <w:top w:val="none" w:sz="0" w:space="0" w:color="auto"/>
            <w:left w:val="none" w:sz="0" w:space="0" w:color="auto"/>
            <w:bottom w:val="none" w:sz="0" w:space="0" w:color="auto"/>
            <w:right w:val="none" w:sz="0" w:space="0" w:color="auto"/>
          </w:divBdr>
          <w:divsChild>
            <w:div w:id="750734709">
              <w:marLeft w:val="0"/>
              <w:marRight w:val="0"/>
              <w:marTop w:val="0"/>
              <w:marBottom w:val="0"/>
              <w:divBdr>
                <w:top w:val="none" w:sz="0" w:space="0" w:color="auto"/>
                <w:left w:val="none" w:sz="0" w:space="0" w:color="auto"/>
                <w:bottom w:val="none" w:sz="0" w:space="0" w:color="auto"/>
                <w:right w:val="none" w:sz="0" w:space="0" w:color="auto"/>
              </w:divBdr>
            </w:div>
          </w:divsChild>
        </w:div>
        <w:div w:id="493768259">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fiindia.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cilindia.com/OMHome.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immda.org/" TargetMode="External"/><Relationship Id="rId11" Type="http://schemas.openxmlformats.org/officeDocument/2006/relationships/hyperlink" Target="http://www.bseindia.com/" TargetMode="External"/><Relationship Id="rId5" Type="http://schemas.openxmlformats.org/officeDocument/2006/relationships/hyperlink" Target="http://www.livemint.com/" TargetMode="External"/><Relationship Id="rId10" Type="http://schemas.openxmlformats.org/officeDocument/2006/relationships/hyperlink" Target="http://www.nseindia.com/" TargetMode="External"/><Relationship Id="rId4" Type="http://schemas.openxmlformats.org/officeDocument/2006/relationships/webSettings" Target="webSettings.xml"/><Relationship Id="rId9" Type="http://schemas.openxmlformats.org/officeDocument/2006/relationships/hyperlink" Target="http://www.stcip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1360</Words>
  <Characters>7757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2025-08-26T10:28:00Z</dcterms:created>
  <dcterms:modified xsi:type="dcterms:W3CDTF">2025-08-26T10:28:00Z</dcterms:modified>
</cp:coreProperties>
</file>