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65D7" w:rsidRPr="008165D7" w:rsidRDefault="008165D7" w:rsidP="008165D7">
      <w:pPr>
        <w:spacing w:after="0" w:line="240" w:lineRule="auto"/>
        <w:jc w:val="center"/>
        <w:rPr>
          <w:rFonts w:ascii="open sans" w:eastAsia="Times New Roman" w:hAnsi="open sans" w:cs="Times New Roman"/>
          <w:color w:val="333333"/>
          <w:sz w:val="21"/>
          <w:szCs w:val="21"/>
        </w:rPr>
      </w:pPr>
    </w:p>
    <w:p w:rsidR="008165D7" w:rsidRPr="008165D7" w:rsidRDefault="008165D7" w:rsidP="008165D7">
      <w:pPr>
        <w:shd w:val="clear" w:color="auto" w:fill="FFFFFF"/>
        <w:spacing w:after="0" w:line="240" w:lineRule="auto"/>
        <w:jc w:val="center"/>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FFFFF"/>
        <w:spacing w:after="0" w:line="240" w:lineRule="auto"/>
        <w:jc w:val="center"/>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pBdr>
          <w:bottom w:val="single" w:sz="6" w:space="3" w:color="8B0000"/>
        </w:pBdr>
        <w:shd w:val="clear" w:color="auto" w:fill="FFFFFF"/>
        <w:spacing w:after="0" w:line="288" w:lineRule="atLeast"/>
        <w:ind w:left="375" w:right="375"/>
        <w:jc w:val="center"/>
        <w:outlineLvl w:val="2"/>
        <w:rPr>
          <w:rFonts w:ascii="crimson pro" w:eastAsia="Times New Roman" w:hAnsi="crimson pro" w:cs="Times New Roman"/>
          <w:color w:val="333333"/>
          <w:sz w:val="36"/>
          <w:szCs w:val="36"/>
        </w:rPr>
      </w:pPr>
      <w:r w:rsidRPr="008165D7">
        <w:rPr>
          <w:rFonts w:ascii="crimson pro" w:eastAsia="Times New Roman" w:hAnsi="crimson pro" w:cs="Times New Roman"/>
          <w:color w:val="333333"/>
          <w:sz w:val="36"/>
          <w:szCs w:val="36"/>
        </w:rPr>
        <w:t>Legal Aspects of Business</w:t>
      </w:r>
    </w:p>
    <w:p w:rsidR="008165D7" w:rsidRPr="008165D7" w:rsidRDefault="008165D7" w:rsidP="008165D7">
      <w:pPr>
        <w:spacing w:before="300" w:after="150" w:line="240" w:lineRule="auto"/>
        <w:jc w:val="center"/>
        <w:outlineLvl w:val="2"/>
        <w:rPr>
          <w:rFonts w:ascii="open sans" w:eastAsia="Times New Roman" w:hAnsi="open sans" w:cs="Times New Roman"/>
          <w:color w:val="333333"/>
          <w:sz w:val="36"/>
          <w:szCs w:val="36"/>
        </w:rPr>
      </w:pPr>
      <w:r w:rsidRPr="008165D7">
        <w:rPr>
          <w:rFonts w:ascii="open sans" w:eastAsia="Times New Roman" w:hAnsi="open sans" w:cs="Times New Roman"/>
          <w:color w:val="333333"/>
          <w:sz w:val="36"/>
          <w:szCs w:val="36"/>
        </w:rPr>
        <w:t>Course Outline</w:t>
      </w:r>
    </w:p>
    <w:p w:rsidR="008165D7" w:rsidRPr="008165D7" w:rsidRDefault="008165D7" w:rsidP="008165D7">
      <w:pPr>
        <w:shd w:val="clear" w:color="auto" w:fill="F5F5F5"/>
        <w:spacing w:after="150" w:line="240" w:lineRule="auto"/>
        <w:jc w:val="center"/>
        <w:rPr>
          <w:rFonts w:ascii="open sans" w:eastAsia="Times New Roman" w:hAnsi="open sans" w:cs="Times New Roman"/>
          <w:color w:val="333333"/>
          <w:sz w:val="21"/>
          <w:szCs w:val="21"/>
        </w:rPr>
      </w:pPr>
      <w:r w:rsidRPr="008165D7">
        <w:rPr>
          <w:rFonts w:ascii="Arial" w:eastAsia="Times New Roman" w:hAnsi="Arial" w:cs="Arial"/>
          <w:b/>
          <w:bCs/>
          <w:color w:val="333333"/>
          <w:sz w:val="24"/>
          <w:szCs w:val="24"/>
        </w:rPr>
        <w:t>Xavier Institute of Management, Bhubaneswar</w:t>
      </w:r>
    </w:p>
    <w:p w:rsidR="008165D7" w:rsidRPr="008165D7" w:rsidRDefault="008165D7" w:rsidP="008165D7">
      <w:pPr>
        <w:shd w:val="clear" w:color="auto" w:fill="F5F5F5"/>
        <w:spacing w:after="150" w:line="240" w:lineRule="auto"/>
        <w:jc w:val="center"/>
        <w:rPr>
          <w:rFonts w:ascii="open sans" w:eastAsia="Times New Roman" w:hAnsi="open sans" w:cs="Times New Roman"/>
          <w:color w:val="333333"/>
          <w:sz w:val="21"/>
          <w:szCs w:val="21"/>
        </w:rPr>
      </w:pPr>
      <w:r w:rsidRPr="008165D7">
        <w:rPr>
          <w:rFonts w:ascii="Arial" w:eastAsia="Times New Roman" w:hAnsi="Arial" w:cs="Arial"/>
          <w:b/>
          <w:bCs/>
          <w:color w:val="333333"/>
          <w:sz w:val="24"/>
          <w:szCs w:val="24"/>
        </w:rPr>
        <w:t>XIM University</w:t>
      </w:r>
    </w:p>
    <w:p w:rsidR="008165D7" w:rsidRPr="008165D7" w:rsidRDefault="008165D7" w:rsidP="008165D7">
      <w:pPr>
        <w:shd w:val="clear" w:color="auto" w:fill="F5F5F5"/>
        <w:spacing w:line="240" w:lineRule="auto"/>
        <w:jc w:val="center"/>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tbl>
      <w:tblPr>
        <w:tblW w:w="0" w:type="auto"/>
        <w:jc w:val="center"/>
        <w:tblCellMar>
          <w:top w:w="15" w:type="dxa"/>
          <w:left w:w="15" w:type="dxa"/>
          <w:bottom w:w="15" w:type="dxa"/>
          <w:right w:w="15" w:type="dxa"/>
        </w:tblCellMar>
        <w:tblLook w:val="04A0" w:firstRow="1" w:lastRow="0" w:firstColumn="1" w:lastColumn="0" w:noHBand="0" w:noVBand="1"/>
      </w:tblPr>
      <w:tblGrid>
        <w:gridCol w:w="2374"/>
        <w:gridCol w:w="6970"/>
      </w:tblGrid>
      <w:tr w:rsidR="008165D7" w:rsidRPr="008165D7" w:rsidTr="008165D7">
        <w:trPr>
          <w:jc w:val="center"/>
        </w:trPr>
        <w:tc>
          <w:tcPr>
            <w:tcW w:w="2550" w:type="dxa"/>
            <w:tcBorders>
              <w:top w:val="double" w:sz="4" w:space="0" w:color="auto"/>
              <w:left w:val="single" w:sz="6" w:space="0" w:color="auto"/>
              <w:bottom w:val="double" w:sz="4" w:space="0" w:color="auto"/>
              <w:right w:val="single" w:sz="6" w:space="0" w:color="auto"/>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Course Name</w:t>
            </w:r>
          </w:p>
        </w:tc>
        <w:tc>
          <w:tcPr>
            <w:tcW w:w="7950" w:type="dxa"/>
            <w:tcBorders>
              <w:top w:val="double" w:sz="4" w:space="0" w:color="000000"/>
              <w:left w:val="nil"/>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LEGAL ASPECTS OF BUSINESS</w:t>
            </w:r>
          </w:p>
        </w:tc>
      </w:tr>
      <w:tr w:rsidR="008165D7" w:rsidRPr="008165D7" w:rsidTr="008165D7">
        <w:trPr>
          <w:jc w:val="center"/>
        </w:trPr>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proofErr w:type="spellStart"/>
            <w:r w:rsidRPr="008165D7">
              <w:rPr>
                <w:rFonts w:ascii="Arial" w:eastAsia="Times New Roman" w:hAnsi="Arial" w:cs="Arial"/>
                <w:b/>
                <w:bCs/>
                <w:color w:val="9B59B6"/>
                <w:sz w:val="24"/>
                <w:szCs w:val="24"/>
              </w:rPr>
              <w:t>Programme</w:t>
            </w:r>
            <w:proofErr w:type="spellEnd"/>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MBA(BM)</w:t>
            </w:r>
          </w:p>
        </w:tc>
      </w:tr>
      <w:tr w:rsidR="008165D7" w:rsidRPr="008165D7" w:rsidTr="008165D7">
        <w:trPr>
          <w:jc w:val="center"/>
        </w:trPr>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Batch</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2025-27</w:t>
            </w:r>
          </w:p>
        </w:tc>
      </w:tr>
      <w:tr w:rsidR="008165D7" w:rsidRPr="008165D7" w:rsidTr="008165D7">
        <w:trPr>
          <w:jc w:val="center"/>
        </w:trPr>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Term</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I</w:t>
            </w:r>
          </w:p>
        </w:tc>
      </w:tr>
      <w:tr w:rsidR="008165D7" w:rsidRPr="008165D7" w:rsidTr="008165D7">
        <w:trPr>
          <w:jc w:val="center"/>
        </w:trPr>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Credits</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2</w:t>
            </w:r>
          </w:p>
        </w:tc>
      </w:tr>
      <w:tr w:rsidR="008165D7" w:rsidRPr="008165D7" w:rsidTr="008165D7">
        <w:trPr>
          <w:jc w:val="center"/>
        </w:trPr>
        <w:tc>
          <w:tcPr>
            <w:tcW w:w="2550" w:type="dxa"/>
            <w:tcBorders>
              <w:top w:val="nil"/>
              <w:left w:val="single" w:sz="6" w:space="0" w:color="000000"/>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Course Instructor</w:t>
            </w:r>
          </w:p>
        </w:tc>
        <w:tc>
          <w:tcPr>
            <w:tcW w:w="7950" w:type="dxa"/>
            <w:tcBorders>
              <w:top w:val="nil"/>
              <w:left w:val="nil"/>
              <w:bottom w:val="double" w:sz="4"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color w:val="9B59B6"/>
                <w:sz w:val="24"/>
                <w:szCs w:val="24"/>
              </w:rPr>
              <w:t>Prof. CHETNA RATH</w:t>
            </w:r>
          </w:p>
        </w:tc>
      </w:tr>
    </w:tbl>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Course Introduction and Objectives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The object of law is order and the result of order is that people can look with some sort of security as to their future. Going by the maxim of “</w:t>
      </w:r>
      <w:proofErr w:type="spellStart"/>
      <w:r w:rsidRPr="008165D7">
        <w:rPr>
          <w:rFonts w:ascii="Arial" w:eastAsia="Times New Roman" w:hAnsi="Arial" w:cs="Arial"/>
          <w:i/>
          <w:iCs/>
          <w:color w:val="333333"/>
          <w:sz w:val="24"/>
          <w:szCs w:val="24"/>
        </w:rPr>
        <w:t>Ignorantia</w:t>
      </w:r>
      <w:proofErr w:type="spellEnd"/>
      <w:r w:rsidRPr="008165D7">
        <w:rPr>
          <w:rFonts w:ascii="Arial" w:eastAsia="Times New Roman" w:hAnsi="Arial" w:cs="Arial"/>
          <w:i/>
          <w:iCs/>
          <w:color w:val="333333"/>
          <w:sz w:val="24"/>
          <w:szCs w:val="24"/>
        </w:rPr>
        <w:t xml:space="preserve"> juris non-</w:t>
      </w:r>
      <w:proofErr w:type="spellStart"/>
      <w:r w:rsidRPr="008165D7">
        <w:rPr>
          <w:rFonts w:ascii="Arial" w:eastAsia="Times New Roman" w:hAnsi="Arial" w:cs="Arial"/>
          <w:i/>
          <w:iCs/>
          <w:color w:val="333333"/>
          <w:sz w:val="24"/>
          <w:szCs w:val="24"/>
        </w:rPr>
        <w:t>excusat</w:t>
      </w:r>
      <w:proofErr w:type="spellEnd"/>
      <w:r w:rsidRPr="008165D7">
        <w:rPr>
          <w:rFonts w:ascii="Arial" w:eastAsia="Times New Roman" w:hAnsi="Arial" w:cs="Arial"/>
          <w:color w:val="333333"/>
          <w:sz w:val="24"/>
          <w:szCs w:val="24"/>
        </w:rPr>
        <w:t>” (ignorance of law is no excuse) it becomes imperative for managers to be aware of the laws that govern the corporate sector so that they proceed legally when their rights are infringed and defend legal suits against their organizations as and when required. It is essential for all business executives to have a basic knowledge of some of the important laws which are applicable to their respective areas of operation. Business law comprises of a set of laws concerning business and commerce which would enable managers to ensure legal compliance and make better decisions.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Course Content</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This course will cover the following laws/acts-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Law of Contracts 1872</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Companies Act 2013 and SEBI Act 1992</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Intellectual Property Rights [Patents, Trademarks &amp; Copyrights]</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lastRenderedPageBreak/>
        <w:t>Consumer Protection Act 2019</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The Sale of Goods Act 1930</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Competition Act 2002</w:t>
      </w:r>
    </w:p>
    <w:p w:rsidR="008165D7" w:rsidRPr="008165D7" w:rsidRDefault="008165D7" w:rsidP="008165D7">
      <w:pPr>
        <w:numPr>
          <w:ilvl w:val="0"/>
          <w:numId w:val="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DPDP Act 2023</w:t>
      </w:r>
    </w:p>
    <w:p w:rsidR="008165D7" w:rsidRPr="008165D7" w:rsidRDefault="008165D7" w:rsidP="008165D7">
      <w:pPr>
        <w:shd w:val="clear" w:color="auto" w:fill="F5F5F5"/>
        <w:spacing w:after="150" w:line="240" w:lineRule="auto"/>
        <w:ind w:left="1140"/>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Course Learning Outcomes (CLO)</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i/>
          <w:iCs/>
          <w:color w:val="333333"/>
          <w:sz w:val="24"/>
          <w:szCs w:val="24"/>
        </w:rPr>
        <w:t>CLO1:</w:t>
      </w:r>
      <w:r w:rsidRPr="008165D7">
        <w:rPr>
          <w:rFonts w:ascii="Arial" w:eastAsia="Times New Roman" w:hAnsi="Arial" w:cs="Arial"/>
          <w:i/>
          <w:iCs/>
          <w:color w:val="333333"/>
          <w:sz w:val="24"/>
          <w:szCs w:val="24"/>
        </w:rPr>
        <w:t> To be able to understand principal laws regulating business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i/>
          <w:iCs/>
          <w:color w:val="333333"/>
          <w:sz w:val="24"/>
          <w:szCs w:val="24"/>
        </w:rPr>
        <w:t>CLO2:</w:t>
      </w:r>
      <w:r w:rsidRPr="008165D7">
        <w:rPr>
          <w:rFonts w:ascii="Arial" w:eastAsia="Times New Roman" w:hAnsi="Arial" w:cs="Arial"/>
          <w:i/>
          <w:iCs/>
          <w:color w:val="333333"/>
          <w:sz w:val="24"/>
          <w:szCs w:val="24"/>
        </w:rPr>
        <w:t> To be able to interpret various legal provisions and learn how to apply them through exposure to case-made laws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i/>
          <w:iCs/>
          <w:color w:val="333333"/>
          <w:sz w:val="24"/>
          <w:szCs w:val="24"/>
        </w:rPr>
        <w:t>CLO3:</w:t>
      </w:r>
      <w:r w:rsidRPr="008165D7">
        <w:rPr>
          <w:rFonts w:ascii="Arial" w:eastAsia="Times New Roman" w:hAnsi="Arial" w:cs="Arial"/>
          <w:i/>
          <w:iCs/>
          <w:color w:val="333333"/>
          <w:sz w:val="24"/>
          <w:szCs w:val="24"/>
        </w:rPr>
        <w:t> Be able to learn how to start a business venture and run it successfully in conformity with legal parameters.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Reading and References</w:t>
      </w:r>
    </w:p>
    <w:p w:rsidR="008165D7" w:rsidRPr="008165D7" w:rsidRDefault="008165D7" w:rsidP="008165D7">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Textbook:</w:t>
      </w:r>
    </w:p>
    <w:p w:rsidR="008165D7" w:rsidRPr="008165D7" w:rsidRDefault="008165D7" w:rsidP="008165D7">
      <w:pPr>
        <w:shd w:val="clear" w:color="auto" w:fill="F5F5F5"/>
        <w:spacing w:after="150" w:line="240" w:lineRule="auto"/>
        <w:ind w:left="1140"/>
        <w:jc w:val="both"/>
        <w:rPr>
          <w:rFonts w:ascii="open sans" w:eastAsia="Times New Roman" w:hAnsi="open sans" w:cs="Times New Roman"/>
          <w:color w:val="333333"/>
          <w:sz w:val="21"/>
          <w:szCs w:val="21"/>
        </w:rPr>
      </w:pPr>
      <w:r w:rsidRPr="008165D7">
        <w:rPr>
          <w:rFonts w:ascii="Arial" w:eastAsia="Times New Roman" w:hAnsi="Arial" w:cs="Arial"/>
          <w:color w:val="222222"/>
          <w:sz w:val="24"/>
          <w:szCs w:val="24"/>
          <w:shd w:val="clear" w:color="auto" w:fill="FFFFFF"/>
        </w:rPr>
        <w:t>Legal Aspects of Business, Ravinder Kumar, Cengage-Sixth Edition</w:t>
      </w:r>
    </w:p>
    <w:p w:rsidR="008165D7" w:rsidRPr="008165D7" w:rsidRDefault="008165D7" w:rsidP="008165D7">
      <w:pPr>
        <w:shd w:val="clear" w:color="auto" w:fill="F5F5F5"/>
        <w:spacing w:after="150" w:line="240" w:lineRule="auto"/>
        <w:ind w:left="1140"/>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Reference Books:</w:t>
      </w:r>
    </w:p>
    <w:p w:rsidR="008165D7" w:rsidRPr="008165D7" w:rsidRDefault="008165D7" w:rsidP="008165D7">
      <w:pPr>
        <w:shd w:val="clear" w:color="auto" w:fill="F5F5F5"/>
        <w:spacing w:after="150" w:line="240" w:lineRule="auto"/>
        <w:ind w:left="1140"/>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 xml:space="preserve">Business Law by M.C. </w:t>
      </w:r>
      <w:proofErr w:type="spellStart"/>
      <w:r w:rsidRPr="008165D7">
        <w:rPr>
          <w:rFonts w:ascii="Arial" w:eastAsia="Times New Roman" w:hAnsi="Arial" w:cs="Arial"/>
          <w:color w:val="333333"/>
          <w:sz w:val="24"/>
          <w:szCs w:val="24"/>
        </w:rPr>
        <w:t>Kuchhal</w:t>
      </w:r>
      <w:proofErr w:type="spellEnd"/>
      <w:r w:rsidRPr="008165D7">
        <w:rPr>
          <w:rFonts w:ascii="Arial" w:eastAsia="Times New Roman" w:hAnsi="Arial" w:cs="Arial"/>
          <w:color w:val="333333"/>
          <w:sz w:val="24"/>
          <w:szCs w:val="24"/>
        </w:rPr>
        <w:t xml:space="preserve"> and Vivek </w:t>
      </w:r>
      <w:proofErr w:type="spellStart"/>
      <w:r w:rsidRPr="008165D7">
        <w:rPr>
          <w:rFonts w:ascii="Arial" w:eastAsia="Times New Roman" w:hAnsi="Arial" w:cs="Arial"/>
          <w:color w:val="333333"/>
          <w:sz w:val="24"/>
          <w:szCs w:val="24"/>
        </w:rPr>
        <w:t>Kuchhal</w:t>
      </w:r>
      <w:proofErr w:type="spellEnd"/>
      <w:r w:rsidRPr="008165D7">
        <w:rPr>
          <w:rFonts w:ascii="Arial" w:eastAsia="Times New Roman" w:hAnsi="Arial" w:cs="Arial"/>
          <w:color w:val="333333"/>
          <w:sz w:val="24"/>
          <w:szCs w:val="24"/>
        </w:rPr>
        <w:t>, Vikas Publications</w:t>
      </w:r>
    </w:p>
    <w:p w:rsidR="008165D7" w:rsidRPr="008165D7" w:rsidRDefault="008165D7" w:rsidP="008165D7">
      <w:pPr>
        <w:shd w:val="clear" w:color="auto" w:fill="F5F5F5"/>
        <w:spacing w:after="150" w:line="240" w:lineRule="auto"/>
        <w:ind w:left="1140"/>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 xml:space="preserve">Legal Aspects of Business by </w:t>
      </w:r>
      <w:proofErr w:type="spellStart"/>
      <w:r w:rsidRPr="008165D7">
        <w:rPr>
          <w:rFonts w:ascii="Arial" w:eastAsia="Times New Roman" w:hAnsi="Arial" w:cs="Arial"/>
          <w:color w:val="333333"/>
          <w:sz w:val="24"/>
          <w:szCs w:val="24"/>
        </w:rPr>
        <w:t>Parul</w:t>
      </w:r>
      <w:proofErr w:type="spellEnd"/>
      <w:r w:rsidRPr="008165D7">
        <w:rPr>
          <w:rFonts w:ascii="Arial" w:eastAsia="Times New Roman" w:hAnsi="Arial" w:cs="Arial"/>
          <w:color w:val="333333"/>
          <w:sz w:val="24"/>
          <w:szCs w:val="24"/>
        </w:rPr>
        <w:t xml:space="preserve"> Gupta, Vikas Publications</w:t>
      </w:r>
    </w:p>
    <w:p w:rsidR="008165D7" w:rsidRPr="008165D7" w:rsidRDefault="008165D7" w:rsidP="008165D7">
      <w:pPr>
        <w:shd w:val="clear" w:color="auto" w:fill="F5F5F5"/>
        <w:spacing w:after="150" w:line="240" w:lineRule="auto"/>
        <w:ind w:left="1140"/>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 xml:space="preserve">Elements of Mercantile Law by </w:t>
      </w:r>
      <w:proofErr w:type="spellStart"/>
      <w:r w:rsidRPr="008165D7">
        <w:rPr>
          <w:rFonts w:ascii="Arial" w:eastAsia="Times New Roman" w:hAnsi="Arial" w:cs="Arial"/>
          <w:color w:val="333333"/>
          <w:sz w:val="24"/>
          <w:szCs w:val="24"/>
        </w:rPr>
        <w:t>N.</w:t>
      </w:r>
      <w:proofErr w:type="gramStart"/>
      <w:r w:rsidRPr="008165D7">
        <w:rPr>
          <w:rFonts w:ascii="Arial" w:eastAsia="Times New Roman" w:hAnsi="Arial" w:cs="Arial"/>
          <w:color w:val="333333"/>
          <w:sz w:val="24"/>
          <w:szCs w:val="24"/>
        </w:rPr>
        <w:t>D.Kapoor</w:t>
      </w:r>
      <w:proofErr w:type="spellEnd"/>
      <w:proofErr w:type="gramEnd"/>
      <w:r w:rsidRPr="008165D7">
        <w:rPr>
          <w:rFonts w:ascii="Arial" w:eastAsia="Times New Roman" w:hAnsi="Arial" w:cs="Arial"/>
          <w:color w:val="333333"/>
          <w:sz w:val="24"/>
          <w:szCs w:val="24"/>
        </w:rPr>
        <w:t xml:space="preserve">, </w:t>
      </w:r>
      <w:proofErr w:type="spellStart"/>
      <w:r w:rsidRPr="008165D7">
        <w:rPr>
          <w:rFonts w:ascii="Arial" w:eastAsia="Times New Roman" w:hAnsi="Arial" w:cs="Arial"/>
          <w:color w:val="333333"/>
          <w:sz w:val="24"/>
          <w:szCs w:val="24"/>
        </w:rPr>
        <w:t>S.Chand</w:t>
      </w:r>
      <w:proofErr w:type="spellEnd"/>
      <w:r w:rsidRPr="008165D7">
        <w:rPr>
          <w:rFonts w:ascii="Arial" w:eastAsia="Times New Roman" w:hAnsi="Arial" w:cs="Arial"/>
          <w:color w:val="333333"/>
          <w:sz w:val="24"/>
          <w:szCs w:val="24"/>
        </w:rPr>
        <w:t>, New Delhi</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Pedagogy and Students Workload</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The pedagogy will include various methods like-lecture, case discussions, and role-plays, etc., and specific expectation from students will be delivered during the course sessions.</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Session Plan</w:t>
      </w:r>
    </w:p>
    <w:p w:rsidR="008165D7" w:rsidRPr="008165D7" w:rsidRDefault="008165D7" w:rsidP="008165D7">
      <w:pPr>
        <w:shd w:val="clear" w:color="auto" w:fill="F5F5F5"/>
        <w:spacing w:line="240" w:lineRule="auto"/>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tbl>
      <w:tblPr>
        <w:tblW w:w="8685" w:type="dxa"/>
        <w:jc w:val="center"/>
        <w:tblCellMar>
          <w:top w:w="15" w:type="dxa"/>
          <w:left w:w="15" w:type="dxa"/>
          <w:bottom w:w="15" w:type="dxa"/>
          <w:right w:w="15" w:type="dxa"/>
        </w:tblCellMar>
        <w:tblLook w:val="04A0" w:firstRow="1" w:lastRow="0" w:firstColumn="1" w:lastColumn="0" w:noHBand="0" w:noVBand="1"/>
      </w:tblPr>
      <w:tblGrid>
        <w:gridCol w:w="944"/>
        <w:gridCol w:w="1524"/>
        <w:gridCol w:w="6876"/>
      </w:tblGrid>
      <w:tr w:rsidR="008165D7" w:rsidRPr="008165D7" w:rsidTr="008165D7">
        <w:trPr>
          <w:trHeight w:val="915"/>
          <w:tblHeader/>
          <w:jc w:val="center"/>
        </w:trPr>
        <w:tc>
          <w:tcPr>
            <w:tcW w:w="1125" w:type="dxa"/>
            <w:tcBorders>
              <w:top w:val="single" w:sz="6" w:space="0" w:color="000000"/>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lastRenderedPageBreak/>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Session.</w:t>
            </w:r>
          </w:p>
        </w:tc>
        <w:tc>
          <w:tcPr>
            <w:tcW w:w="5730" w:type="dxa"/>
            <w:tcBorders>
              <w:top w:val="single" w:sz="6" w:space="0" w:color="000000"/>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Topic</w:t>
            </w:r>
          </w:p>
        </w:tc>
        <w:tc>
          <w:tcPr>
            <w:tcW w:w="4995" w:type="dxa"/>
            <w:tcBorders>
              <w:top w:val="single" w:sz="6" w:space="0" w:color="000000"/>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Reading Materials</w:t>
            </w:r>
          </w:p>
        </w:tc>
      </w:tr>
      <w:tr w:rsidR="008165D7" w:rsidRPr="008165D7" w:rsidTr="008165D7">
        <w:trPr>
          <w:trHeight w:val="85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Indian Contract Act of 1872</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Nature of Contract,</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Essential elements of a Contract,</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Type of Contracts</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I-Chapter 1</w:t>
            </w:r>
          </w:p>
        </w:tc>
      </w:tr>
      <w:tr w:rsidR="008165D7" w:rsidRPr="008165D7" w:rsidTr="008165D7">
        <w:trPr>
          <w:trHeight w:val="85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2</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Offer &amp; acceptance; Consideration</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I-Chapter 1 &amp; 2</w:t>
            </w:r>
          </w:p>
        </w:tc>
      </w:tr>
      <w:tr w:rsidR="008165D7" w:rsidRPr="008165D7" w:rsidTr="008165D7">
        <w:trPr>
          <w:trHeight w:val="40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3</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Capacity of parties, Free consent, Legality of object</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I-Chapter 2, 3 &amp; 4</w:t>
            </w:r>
          </w:p>
        </w:tc>
      </w:tr>
      <w:tr w:rsidR="008165D7" w:rsidRPr="008165D7" w:rsidTr="008165D7">
        <w:trPr>
          <w:trHeight w:val="22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4</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Performance &amp; discharge of contract,</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Remedies for breach</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I-Chapter 6 &amp; 7</w:t>
            </w:r>
          </w:p>
        </w:tc>
      </w:tr>
      <w:tr w:rsidR="008165D7" w:rsidRPr="008165D7" w:rsidTr="008165D7">
        <w:trPr>
          <w:trHeight w:val="60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5</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The Sale of Goods Act 1930</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II-Chapter 9</w:t>
            </w:r>
          </w:p>
        </w:tc>
      </w:tr>
      <w:tr w:rsidR="008165D7" w:rsidRPr="008165D7" w:rsidTr="008165D7">
        <w:trPr>
          <w:trHeight w:val="42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lastRenderedPageBreak/>
              <w:t>6</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Intellectual Property Rights</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VI-Chapter 33</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Case:</w:t>
            </w:r>
            <w:r w:rsidRPr="008165D7">
              <w:rPr>
                <w:rFonts w:ascii="Arial" w:eastAsia="Times New Roman" w:hAnsi="Arial" w:cs="Arial"/>
                <w:sz w:val="24"/>
                <w:szCs w:val="24"/>
              </w:rPr>
              <w:t> IPR of Lays variety potato– Is it a matter of public or private interests?</w:t>
            </w:r>
          </w:p>
        </w:tc>
      </w:tr>
      <w:tr w:rsidR="008165D7" w:rsidRPr="008165D7" w:rsidTr="008165D7">
        <w:trPr>
          <w:trHeight w:val="42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7</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Consumer Protection Act 2019</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VI-Chapter 22</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Case Evaluation:</w:t>
            </w:r>
            <w:r w:rsidRPr="008165D7">
              <w:rPr>
                <w:rFonts w:ascii="Arial" w:eastAsia="Times New Roman" w:hAnsi="Arial" w:cs="Arial"/>
                <w:sz w:val="24"/>
                <w:szCs w:val="24"/>
              </w:rPr>
              <w:t> Nestle India Limited: Maggi Noodles at war with the regulators</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Reading Material</w:t>
            </w:r>
            <w:r w:rsidRPr="008165D7">
              <w:rPr>
                <w:rFonts w:ascii="Calibri" w:eastAsia="Times New Roman" w:hAnsi="Calibri" w:cs="Calibri"/>
              </w:rPr>
              <w:t> </w:t>
            </w:r>
            <w:hyperlink r:id="rId5" w:history="1">
              <w:r w:rsidRPr="008165D7">
                <w:rPr>
                  <w:rFonts w:ascii="Arial" w:eastAsia="Times New Roman" w:hAnsi="Arial" w:cs="Arial"/>
                  <w:color w:val="0563C1"/>
                  <w:sz w:val="24"/>
                  <w:szCs w:val="24"/>
                  <w:u w:val="single"/>
                </w:rPr>
                <w:t>https://www.legitquest.com/legal-guide/top-7-consumer-protection-act-cases</w:t>
              </w:r>
            </w:hyperlink>
          </w:p>
        </w:tc>
      </w:tr>
      <w:tr w:rsidR="008165D7" w:rsidRPr="008165D7" w:rsidTr="008165D7">
        <w:trPr>
          <w:trHeight w:val="40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8</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Companies Act 2013 &amp; SEBI Act 1992</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 xml:space="preserve">Formation, Types, </w:t>
            </w:r>
            <w:proofErr w:type="spellStart"/>
            <w:r w:rsidRPr="008165D7">
              <w:rPr>
                <w:rFonts w:ascii="Arial" w:eastAsia="Times New Roman" w:hAnsi="Arial" w:cs="Arial"/>
                <w:sz w:val="24"/>
                <w:szCs w:val="24"/>
              </w:rPr>
              <w:t>MoA</w:t>
            </w:r>
            <w:proofErr w:type="spellEnd"/>
            <w:r w:rsidRPr="008165D7">
              <w:rPr>
                <w:rFonts w:ascii="Arial" w:eastAsia="Times New Roman" w:hAnsi="Arial" w:cs="Arial"/>
                <w:sz w:val="24"/>
                <w:szCs w:val="24"/>
              </w:rPr>
              <w:t xml:space="preserve"> &amp; </w:t>
            </w:r>
            <w:proofErr w:type="spellStart"/>
            <w:r w:rsidRPr="008165D7">
              <w:rPr>
                <w:rFonts w:ascii="Arial" w:eastAsia="Times New Roman" w:hAnsi="Arial" w:cs="Arial"/>
                <w:sz w:val="24"/>
                <w:szCs w:val="24"/>
              </w:rPr>
              <w:t>AoA</w:t>
            </w:r>
            <w:proofErr w:type="spellEnd"/>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V-Chapter 17</w:t>
            </w:r>
          </w:p>
        </w:tc>
      </w:tr>
      <w:tr w:rsidR="008165D7" w:rsidRPr="008165D7" w:rsidTr="008165D7">
        <w:trPr>
          <w:trHeight w:val="63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9</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Prospectus &amp; Share capital</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V-Chapter 18</w:t>
            </w:r>
          </w:p>
        </w:tc>
      </w:tr>
      <w:tr w:rsidR="008165D7" w:rsidRPr="008165D7" w:rsidTr="008165D7">
        <w:trPr>
          <w:trHeight w:val="109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10</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Board of Directors, Meetings and Resolution</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V-Chapter 19</w:t>
            </w:r>
          </w:p>
        </w:tc>
      </w:tr>
      <w:tr w:rsidR="008165D7" w:rsidRPr="008165D7" w:rsidTr="008165D7">
        <w:trPr>
          <w:trHeight w:val="915"/>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11</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Winding up of the company</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V-Chapter 19</w:t>
            </w:r>
          </w:p>
        </w:tc>
      </w:tr>
      <w:tr w:rsidR="008165D7" w:rsidRPr="008165D7" w:rsidTr="008165D7">
        <w:trPr>
          <w:trHeight w:val="114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lastRenderedPageBreak/>
              <w:t>12</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SEBI Act 1992: The regulatory watchdog</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VI-Chapter 24</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Case:</w:t>
            </w:r>
            <w:r w:rsidRPr="008165D7">
              <w:rPr>
                <w:rFonts w:ascii="Arial" w:eastAsia="Times New Roman" w:hAnsi="Arial" w:cs="Arial"/>
                <w:sz w:val="24"/>
                <w:szCs w:val="24"/>
              </w:rPr>
              <w:t> Lux Industries Limited: a case of insider trading</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Case Evaluation: </w:t>
            </w:r>
            <w:proofErr w:type="spellStart"/>
            <w:r w:rsidRPr="008165D7">
              <w:rPr>
                <w:rFonts w:ascii="Arial" w:eastAsia="Times New Roman" w:hAnsi="Arial" w:cs="Arial"/>
                <w:sz w:val="24"/>
                <w:szCs w:val="24"/>
              </w:rPr>
              <w:t>Bharatpe</w:t>
            </w:r>
            <w:proofErr w:type="spellEnd"/>
            <w:r w:rsidRPr="008165D7">
              <w:rPr>
                <w:rFonts w:ascii="Arial" w:eastAsia="Times New Roman" w:hAnsi="Arial" w:cs="Arial"/>
                <w:sz w:val="24"/>
                <w:szCs w:val="24"/>
              </w:rPr>
              <w:t>: Governance Failure in a startup</w:t>
            </w:r>
          </w:p>
        </w:tc>
      </w:tr>
      <w:tr w:rsidR="008165D7" w:rsidRPr="008165D7" w:rsidTr="008165D7">
        <w:trPr>
          <w:trHeight w:val="60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13</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Competition Act, 2002</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VI-Chapter 23</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Case Evaluation:</w:t>
            </w:r>
            <w:r w:rsidRPr="008165D7">
              <w:rPr>
                <w:rFonts w:ascii="Arial" w:eastAsia="Times New Roman" w:hAnsi="Arial" w:cs="Arial"/>
                <w:sz w:val="24"/>
                <w:szCs w:val="24"/>
              </w:rPr>
              <w:t> Google-Antitrust Battles in India</w:t>
            </w:r>
          </w:p>
        </w:tc>
      </w:tr>
      <w:tr w:rsidR="008165D7" w:rsidRPr="008165D7" w:rsidTr="008165D7">
        <w:trPr>
          <w:trHeight w:val="420"/>
          <w:jc w:val="center"/>
        </w:trPr>
        <w:tc>
          <w:tcPr>
            <w:tcW w:w="1125" w:type="dxa"/>
            <w:tcBorders>
              <w:top w:val="nil"/>
              <w:left w:val="single" w:sz="6" w:space="0" w:color="000000"/>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14</w:t>
            </w:r>
          </w:p>
        </w:tc>
        <w:tc>
          <w:tcPr>
            <w:tcW w:w="5730"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Digital Personal Data Protection Act, 2023</w:t>
            </w:r>
          </w:p>
        </w:tc>
        <w:tc>
          <w:tcPr>
            <w:tcW w:w="4995" w:type="dxa"/>
            <w:tcBorders>
              <w:top w:val="nil"/>
              <w:left w:val="nil"/>
              <w:bottom w:val="single" w:sz="6" w:space="0" w:color="000000"/>
              <w:right w:val="single" w:sz="6" w:space="0" w:color="000000"/>
            </w:tcBorders>
            <w:shd w:val="clear" w:color="auto" w:fill="auto"/>
            <w:tcMar>
              <w:top w:w="120" w:type="dxa"/>
              <w:left w:w="120" w:type="dxa"/>
              <w:bottom w:w="120" w:type="dxa"/>
              <w:right w:w="12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Part VI-Chapter 25 [Reference Material]</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Reading Material</w:t>
            </w:r>
          </w:p>
          <w:p w:rsidR="008165D7" w:rsidRPr="008165D7" w:rsidRDefault="008165D7" w:rsidP="008165D7">
            <w:pPr>
              <w:spacing w:after="150" w:line="240" w:lineRule="auto"/>
              <w:jc w:val="center"/>
              <w:rPr>
                <w:rFonts w:ascii="Times New Roman" w:eastAsia="Times New Roman" w:hAnsi="Times New Roman" w:cs="Times New Roman"/>
                <w:sz w:val="24"/>
                <w:szCs w:val="24"/>
              </w:rPr>
            </w:pPr>
            <w:hyperlink r:id="rId6" w:history="1">
              <w:r w:rsidRPr="008165D7">
                <w:rPr>
                  <w:rFonts w:ascii="Arial" w:eastAsia="Times New Roman" w:hAnsi="Arial" w:cs="Arial"/>
                  <w:color w:val="0563C1"/>
                  <w:sz w:val="24"/>
                  <w:szCs w:val="24"/>
                  <w:u w:val="single"/>
                </w:rPr>
                <w:t>https://www.meity.gov.in/static/uploads/2024/06/2bf1f0e9f04e6fb4f8fef35e82c42aa5.pdf</w:t>
              </w:r>
            </w:hyperlink>
          </w:p>
        </w:tc>
      </w:tr>
    </w:tbl>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Assessment Scheme</w:t>
      </w:r>
    </w:p>
    <w:p w:rsidR="008165D7" w:rsidRPr="008165D7" w:rsidRDefault="008165D7" w:rsidP="008165D7">
      <w:pPr>
        <w:shd w:val="clear" w:color="auto" w:fill="F5F5F5"/>
        <w:spacing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tbl>
      <w:tblPr>
        <w:tblW w:w="9345" w:type="dxa"/>
        <w:tblCellMar>
          <w:top w:w="15" w:type="dxa"/>
          <w:left w:w="15" w:type="dxa"/>
          <w:bottom w:w="15" w:type="dxa"/>
          <w:right w:w="15" w:type="dxa"/>
        </w:tblCellMar>
        <w:tblLook w:val="04A0" w:firstRow="1" w:lastRow="0" w:firstColumn="1" w:lastColumn="0" w:noHBand="0" w:noVBand="1"/>
      </w:tblPr>
      <w:tblGrid>
        <w:gridCol w:w="3055"/>
        <w:gridCol w:w="2337"/>
        <w:gridCol w:w="3953"/>
      </w:tblGrid>
      <w:tr w:rsidR="008165D7" w:rsidRPr="008165D7" w:rsidTr="008165D7">
        <w:tc>
          <w:tcPr>
            <w:tcW w:w="30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Component</w:t>
            </w:r>
          </w:p>
        </w:tc>
        <w:tc>
          <w:tcPr>
            <w:tcW w:w="23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Weightage (%)</w:t>
            </w:r>
          </w:p>
        </w:tc>
        <w:tc>
          <w:tcPr>
            <w:tcW w:w="396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8165D7" w:rsidRPr="008165D7" w:rsidRDefault="008165D7" w:rsidP="008165D7">
            <w:pPr>
              <w:spacing w:after="150" w:line="240" w:lineRule="auto"/>
              <w:jc w:val="both"/>
              <w:rPr>
                <w:rFonts w:ascii="Times New Roman" w:eastAsia="Times New Roman" w:hAnsi="Times New Roman" w:cs="Times New Roman"/>
                <w:sz w:val="24"/>
                <w:szCs w:val="24"/>
              </w:rPr>
            </w:pPr>
            <w:r w:rsidRPr="008165D7">
              <w:rPr>
                <w:rFonts w:ascii="Arial" w:eastAsia="Times New Roman" w:hAnsi="Arial" w:cs="Arial"/>
                <w:b/>
                <w:bCs/>
                <w:sz w:val="24"/>
                <w:szCs w:val="24"/>
              </w:rPr>
              <w:t>Assessment of Course Learning Outcome(s) (CLO)</w:t>
            </w:r>
          </w:p>
        </w:tc>
      </w:tr>
      <w:tr w:rsidR="008165D7" w:rsidRPr="008165D7" w:rsidTr="008165D7">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Quizzes</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30%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CLO1</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CLO2</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CLO3</w:t>
            </w:r>
          </w:p>
        </w:tc>
      </w:tr>
      <w:tr w:rsidR="008165D7" w:rsidRPr="008165D7" w:rsidTr="008165D7">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Class Participation</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15%</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CLO1</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CLO2</w:t>
            </w:r>
          </w:p>
        </w:tc>
      </w:tr>
      <w:tr w:rsidR="008165D7" w:rsidRPr="008165D7" w:rsidTr="008165D7">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Group Assignment</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15%</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CLO3</w:t>
            </w:r>
          </w:p>
        </w:tc>
      </w:tr>
      <w:tr w:rsidR="008165D7" w:rsidRPr="008165D7" w:rsidTr="008165D7">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End-Term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40%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CLO1</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lastRenderedPageBreak/>
              <w:t>CLO2</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CLO3</w:t>
            </w:r>
          </w:p>
        </w:tc>
      </w:tr>
    </w:tbl>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lastRenderedPageBreak/>
        <w:t>Evaluation</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It shall be done through term examination, class participation, assignments and quizzes. </w:t>
      </w:r>
      <w:r w:rsidRPr="008165D7">
        <w:rPr>
          <w:rFonts w:ascii="Arial" w:eastAsia="Times New Roman" w:hAnsi="Arial" w:cs="Arial"/>
          <w:i/>
          <w:iCs/>
          <w:color w:val="333333"/>
          <w:sz w:val="24"/>
          <w:szCs w:val="24"/>
        </w:rPr>
        <w:t>All evaluation will be under closed-book system except the end-term exam</w:t>
      </w:r>
      <w:r w:rsidRPr="008165D7">
        <w:rPr>
          <w:rFonts w:ascii="Arial" w:eastAsia="Times New Roman" w:hAnsi="Arial" w:cs="Arial"/>
          <w:color w:val="333333"/>
          <w:sz w:val="24"/>
          <w:szCs w:val="24"/>
        </w:rPr>
        <w:t>.</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Quizzes, Group Assignment and Class Participation</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There shall be three quizzes having MCQs (Best 2 out of 3 will be considered for final grading). Class Participation will be assured through case evaluation and Group Assignment through role-plays.</w:t>
      </w:r>
    </w:p>
    <w:p w:rsidR="008165D7" w:rsidRPr="008165D7" w:rsidRDefault="008165D7" w:rsidP="008165D7">
      <w:pPr>
        <w:shd w:val="clear" w:color="auto" w:fill="F5F5F5"/>
        <w:spacing w:after="150" w:line="240" w:lineRule="auto"/>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Grading Policy</w:t>
      </w:r>
    </w:p>
    <w:p w:rsidR="008165D7" w:rsidRPr="008165D7" w:rsidRDefault="008165D7" w:rsidP="008165D7">
      <w:pPr>
        <w:shd w:val="clear" w:color="auto" w:fill="F5F5F5"/>
        <w:spacing w:after="150" w:line="240" w:lineRule="auto"/>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Policy of the institution will be followed.</w:t>
      </w:r>
    </w:p>
    <w:p w:rsidR="008165D7" w:rsidRPr="008165D7" w:rsidRDefault="008165D7" w:rsidP="008165D7">
      <w:pPr>
        <w:shd w:val="clear" w:color="auto" w:fill="F5F5F5"/>
        <w:spacing w:after="150" w:line="240" w:lineRule="auto"/>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Academic Discipline and Integrity</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Please find some examples for your references below.</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ind w:left="420"/>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Students are expected to come to class on time. Late coming will award no attendance and sometimes barring from the class.</w:t>
      </w:r>
    </w:p>
    <w:p w:rsidR="008165D7" w:rsidRPr="008165D7" w:rsidRDefault="008165D7" w:rsidP="008165D7">
      <w:pPr>
        <w:shd w:val="clear" w:color="auto" w:fill="F5F5F5"/>
        <w:spacing w:after="150" w:line="240" w:lineRule="auto"/>
        <w:ind w:left="420"/>
        <w:jc w:val="both"/>
        <w:rPr>
          <w:rFonts w:ascii="open sans" w:eastAsia="Times New Roman" w:hAnsi="open sans" w:cs="Times New Roman"/>
          <w:color w:val="333333"/>
          <w:sz w:val="21"/>
          <w:szCs w:val="21"/>
        </w:rPr>
      </w:pPr>
      <w:r w:rsidRPr="008165D7">
        <w:rPr>
          <w:rFonts w:ascii="Arial" w:eastAsia="Times New Roman" w:hAnsi="Arial" w:cs="Arial"/>
          <w:color w:val="333333"/>
          <w:sz w:val="24"/>
          <w:szCs w:val="24"/>
        </w:rPr>
        <w:t>Any plagiarism beyond 20% found in the submission (including reproduction from books, online sources, journals or from peers) will just be awarded zero.</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8165D7" w:rsidRPr="008165D7" w:rsidRDefault="008165D7" w:rsidP="008165D7">
      <w:pPr>
        <w:shd w:val="clear" w:color="auto" w:fill="F5F5F5"/>
        <w:spacing w:after="150" w:line="240" w:lineRule="auto"/>
        <w:jc w:val="both"/>
        <w:rPr>
          <w:rFonts w:ascii="open sans" w:eastAsia="Times New Roman" w:hAnsi="open sans" w:cs="Times New Roman"/>
          <w:color w:val="333333"/>
          <w:sz w:val="21"/>
          <w:szCs w:val="21"/>
        </w:rPr>
      </w:pPr>
      <w:r w:rsidRPr="008165D7">
        <w:rPr>
          <w:rFonts w:ascii="Arial" w:eastAsia="Times New Roman" w:hAnsi="Arial" w:cs="Arial"/>
          <w:b/>
          <w:bCs/>
          <w:color w:val="9B59B6"/>
          <w:sz w:val="24"/>
          <w:szCs w:val="24"/>
        </w:rPr>
        <w:t>Mapping Course Leaning Outcomes (CLO) with the Program Learning Goals (PLG)</w:t>
      </w:r>
    </w:p>
    <w:p w:rsidR="008165D7" w:rsidRPr="008165D7" w:rsidRDefault="008165D7" w:rsidP="008165D7">
      <w:pPr>
        <w:shd w:val="clear" w:color="auto" w:fill="F5F5F5"/>
        <w:spacing w:line="240" w:lineRule="auto"/>
        <w:jc w:val="both"/>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tbl>
      <w:tblPr>
        <w:tblW w:w="9345" w:type="dxa"/>
        <w:tblCellMar>
          <w:top w:w="15" w:type="dxa"/>
          <w:left w:w="15" w:type="dxa"/>
          <w:bottom w:w="15" w:type="dxa"/>
          <w:right w:w="15" w:type="dxa"/>
        </w:tblCellMar>
        <w:tblLook w:val="04A0" w:firstRow="1" w:lastRow="0" w:firstColumn="1" w:lastColumn="0" w:noHBand="0" w:noVBand="1"/>
      </w:tblPr>
      <w:tblGrid>
        <w:gridCol w:w="988"/>
        <w:gridCol w:w="1979"/>
        <w:gridCol w:w="3683"/>
        <w:gridCol w:w="1408"/>
        <w:gridCol w:w="1287"/>
      </w:tblGrid>
      <w:tr w:rsidR="008165D7" w:rsidRPr="008165D7" w:rsidTr="008165D7">
        <w:tc>
          <w:tcPr>
            <w:tcW w:w="99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PLG#</w:t>
            </w:r>
          </w:p>
        </w:tc>
        <w:tc>
          <w:tcPr>
            <w:tcW w:w="198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Program Learning Goal</w:t>
            </w:r>
          </w:p>
        </w:tc>
        <w:tc>
          <w:tcPr>
            <w:tcW w:w="369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Trait</w:t>
            </w:r>
          </w:p>
        </w:tc>
        <w:tc>
          <w:tcPr>
            <w:tcW w:w="2700" w:type="dxa"/>
            <w:gridSpan w:val="2"/>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Addressed by Course</w:t>
            </w:r>
          </w:p>
        </w:tc>
      </w:tr>
      <w:tr w:rsidR="008165D7" w:rsidRPr="008165D7" w:rsidTr="008165D7">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8165D7" w:rsidRPr="008165D7" w:rsidRDefault="008165D7" w:rsidP="008165D7">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8165D7" w:rsidRPr="008165D7" w:rsidRDefault="008165D7" w:rsidP="008165D7">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8165D7" w:rsidRPr="008165D7" w:rsidRDefault="008165D7" w:rsidP="008165D7">
            <w:pPr>
              <w:spacing w:after="0" w:line="240" w:lineRule="auto"/>
              <w:rPr>
                <w:rFonts w:ascii="Times New Roman" w:eastAsia="Times New Roman" w:hAnsi="Times New Roman" w:cs="Times New Roman"/>
                <w:sz w:val="24"/>
                <w:szCs w:val="24"/>
              </w:rPr>
            </w:pP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b/>
                <w:bCs/>
                <w:sz w:val="24"/>
                <w:szCs w:val="24"/>
              </w:rPr>
              <w:t>No</w:t>
            </w:r>
          </w:p>
        </w:tc>
      </w:tr>
      <w:tr w:rsidR="008165D7" w:rsidRPr="008165D7" w:rsidTr="008165D7">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PLG1</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Functional and Business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The students will demonstrate understanding of elements of all functional areas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tc>
      </w:tr>
      <w:tr w:rsidR="008165D7" w:rsidRPr="008165D7" w:rsidTr="008165D7">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PLG2</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Analytical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The students will use analytical techniques to identify a business problem, and suggest a 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No</w:t>
            </w:r>
          </w:p>
        </w:tc>
      </w:tr>
      <w:tr w:rsidR="008165D7" w:rsidRPr="008165D7" w:rsidTr="008165D7">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PLG3</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Collaboration and teamwork attributes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The students will exhibit voluntary cooperation and effective teamwork in a group setting</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tc>
      </w:tr>
      <w:tr w:rsidR="008165D7" w:rsidRPr="008165D7" w:rsidTr="008165D7">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PLG4</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Ethical responsibility</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 xml:space="preserve">The students will understand the ethical complexities of conducting business. The students will adopt </w:t>
            </w:r>
            <w:r w:rsidRPr="008165D7">
              <w:rPr>
                <w:rFonts w:ascii="Arial" w:eastAsia="Times New Roman" w:hAnsi="Arial" w:cs="Arial"/>
                <w:color w:val="000000"/>
                <w:sz w:val="24"/>
                <w:szCs w:val="24"/>
              </w:rPr>
              <w:lastRenderedPageBreak/>
              <w:t>techniques in scenarios involving ethical dilemma and offer resolution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lastRenderedPageBreak/>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tc>
      </w:tr>
      <w:tr w:rsidR="008165D7" w:rsidRPr="008165D7" w:rsidTr="008165D7">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PLG5</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Communication</w:t>
            </w:r>
          </w:p>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color w:val="000000"/>
                <w:sz w:val="24"/>
                <w:szCs w:val="24"/>
              </w:rPr>
              <w:t>The students will produce reasonably good quality business documents. The students will become effective and confident communicators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8165D7" w:rsidRPr="008165D7" w:rsidRDefault="008165D7" w:rsidP="008165D7">
            <w:pPr>
              <w:spacing w:after="150" w:line="240" w:lineRule="auto"/>
              <w:jc w:val="center"/>
              <w:rPr>
                <w:rFonts w:ascii="Times New Roman" w:eastAsia="Times New Roman" w:hAnsi="Times New Roman" w:cs="Times New Roman"/>
                <w:sz w:val="24"/>
                <w:szCs w:val="24"/>
              </w:rPr>
            </w:pPr>
            <w:r w:rsidRPr="008165D7">
              <w:rPr>
                <w:rFonts w:ascii="Arial" w:eastAsia="Times New Roman" w:hAnsi="Arial" w:cs="Arial"/>
                <w:sz w:val="24"/>
                <w:szCs w:val="24"/>
              </w:rPr>
              <w:t>No</w:t>
            </w:r>
          </w:p>
        </w:tc>
      </w:tr>
    </w:tbl>
    <w:p w:rsidR="008165D7" w:rsidRPr="008165D7" w:rsidRDefault="008165D7" w:rsidP="008165D7">
      <w:pPr>
        <w:shd w:val="clear" w:color="auto" w:fill="F5F5F5"/>
        <w:spacing w:line="240" w:lineRule="auto"/>
        <w:rPr>
          <w:rFonts w:ascii="open sans" w:eastAsia="Times New Roman" w:hAnsi="open sans" w:cs="Times New Roman"/>
          <w:color w:val="333333"/>
          <w:sz w:val="21"/>
          <w:szCs w:val="21"/>
        </w:rPr>
      </w:pPr>
      <w:r w:rsidRPr="008165D7">
        <w:rPr>
          <w:rFonts w:ascii="open sans" w:eastAsia="Times New Roman" w:hAnsi="open sans" w:cs="Times New Roman"/>
          <w:color w:val="333333"/>
          <w:sz w:val="21"/>
          <w:szCs w:val="21"/>
        </w:rPr>
        <w:t> </w:t>
      </w:r>
    </w:p>
    <w:p w:rsidR="00645312" w:rsidRDefault="00645312">
      <w:bookmarkStart w:id="0" w:name="_GoBack"/>
      <w:bookmarkEnd w:id="0"/>
    </w:p>
    <w:sectPr w:rsidR="006453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rimson pro">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B533F8"/>
    <w:multiLevelType w:val="multilevel"/>
    <w:tmpl w:val="D3DC376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399C44E8"/>
    <w:multiLevelType w:val="multilevel"/>
    <w:tmpl w:val="740425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40943AB"/>
    <w:multiLevelType w:val="multilevel"/>
    <w:tmpl w:val="4F5CD53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5D7"/>
    <w:rsid w:val="00645312"/>
    <w:rsid w:val="00816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2E4862-6F5E-46CA-AAC6-DF89A636D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8165D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165D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8165D7"/>
    <w:rPr>
      <w:color w:val="0000FF"/>
      <w:u w:val="single"/>
    </w:rPr>
  </w:style>
  <w:style w:type="paragraph" w:styleId="NormalWeb">
    <w:name w:val="Normal (Web)"/>
    <w:basedOn w:val="Normal"/>
    <w:uiPriority w:val="99"/>
    <w:semiHidden/>
    <w:unhideWhenUsed/>
    <w:rsid w:val="008165D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165D7"/>
    <w:rPr>
      <w:b/>
      <w:bCs/>
    </w:rPr>
  </w:style>
  <w:style w:type="character" w:styleId="Emphasis">
    <w:name w:val="Emphasis"/>
    <w:basedOn w:val="DefaultParagraphFont"/>
    <w:uiPriority w:val="20"/>
    <w:qFormat/>
    <w:rsid w:val="008165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333072">
      <w:bodyDiv w:val="1"/>
      <w:marLeft w:val="0"/>
      <w:marRight w:val="0"/>
      <w:marTop w:val="0"/>
      <w:marBottom w:val="0"/>
      <w:divBdr>
        <w:top w:val="none" w:sz="0" w:space="0" w:color="auto"/>
        <w:left w:val="none" w:sz="0" w:space="0" w:color="auto"/>
        <w:bottom w:val="none" w:sz="0" w:space="0" w:color="auto"/>
        <w:right w:val="none" w:sz="0" w:space="0" w:color="auto"/>
      </w:divBdr>
      <w:divsChild>
        <w:div w:id="442044531">
          <w:marLeft w:val="0"/>
          <w:marRight w:val="0"/>
          <w:marTop w:val="0"/>
          <w:marBottom w:val="0"/>
          <w:divBdr>
            <w:top w:val="none" w:sz="0" w:space="0" w:color="auto"/>
            <w:left w:val="none" w:sz="0" w:space="0" w:color="auto"/>
            <w:bottom w:val="none" w:sz="0" w:space="0" w:color="auto"/>
            <w:right w:val="none" w:sz="0" w:space="0" w:color="auto"/>
          </w:divBdr>
          <w:divsChild>
            <w:div w:id="1099520500">
              <w:marLeft w:val="0"/>
              <w:marRight w:val="75"/>
              <w:marTop w:val="0"/>
              <w:marBottom w:val="0"/>
              <w:divBdr>
                <w:top w:val="none" w:sz="0" w:space="0" w:color="auto"/>
                <w:left w:val="none" w:sz="0" w:space="0" w:color="auto"/>
                <w:bottom w:val="none" w:sz="0" w:space="0" w:color="auto"/>
                <w:right w:val="none" w:sz="0" w:space="0" w:color="auto"/>
              </w:divBdr>
            </w:div>
          </w:divsChild>
        </w:div>
        <w:div w:id="1971325432">
          <w:marLeft w:val="0"/>
          <w:marRight w:val="0"/>
          <w:marTop w:val="0"/>
          <w:marBottom w:val="0"/>
          <w:divBdr>
            <w:top w:val="none" w:sz="0" w:space="0" w:color="auto"/>
            <w:left w:val="none" w:sz="0" w:space="0" w:color="auto"/>
            <w:bottom w:val="none" w:sz="0" w:space="0" w:color="auto"/>
            <w:right w:val="none" w:sz="0" w:space="0" w:color="auto"/>
          </w:divBdr>
          <w:divsChild>
            <w:div w:id="650140721">
              <w:marLeft w:val="0"/>
              <w:marRight w:val="0"/>
              <w:marTop w:val="0"/>
              <w:marBottom w:val="0"/>
              <w:divBdr>
                <w:top w:val="none" w:sz="0" w:space="0" w:color="auto"/>
                <w:left w:val="none" w:sz="0" w:space="0" w:color="auto"/>
                <w:bottom w:val="none" w:sz="0" w:space="0" w:color="auto"/>
                <w:right w:val="none" w:sz="0" w:space="0" w:color="auto"/>
              </w:divBdr>
            </w:div>
          </w:divsChild>
        </w:div>
        <w:div w:id="442726058">
          <w:marLeft w:val="0"/>
          <w:marRight w:val="0"/>
          <w:marTop w:val="0"/>
          <w:marBottom w:val="0"/>
          <w:divBdr>
            <w:top w:val="none" w:sz="0" w:space="0" w:color="auto"/>
            <w:left w:val="none" w:sz="0" w:space="0" w:color="auto"/>
            <w:bottom w:val="none" w:sz="0" w:space="0" w:color="auto"/>
            <w:right w:val="none" w:sz="0" w:space="0" w:color="auto"/>
          </w:divBdr>
          <w:divsChild>
            <w:div w:id="2117362979">
              <w:marLeft w:val="0"/>
              <w:marRight w:val="0"/>
              <w:marTop w:val="0"/>
              <w:marBottom w:val="0"/>
              <w:divBdr>
                <w:top w:val="none" w:sz="0" w:space="0" w:color="auto"/>
                <w:left w:val="none" w:sz="0" w:space="0" w:color="auto"/>
                <w:bottom w:val="none" w:sz="0" w:space="0" w:color="auto"/>
                <w:right w:val="none" w:sz="0" w:space="0" w:color="auto"/>
              </w:divBdr>
            </w:div>
          </w:divsChild>
        </w:div>
        <w:div w:id="1586644233">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ity.gov.in/static/uploads/2024/06/2bf1f0e9f04e6fb4f8fef35e82c42aa5.pdf" TargetMode="External"/><Relationship Id="rId5" Type="http://schemas.openxmlformats.org/officeDocument/2006/relationships/hyperlink" Target="https://www.legitquest.com/legal-guide/top-7-consumer-protection-act-cas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871</Words>
  <Characters>4971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2025-08-26T10:25:00Z</dcterms:created>
  <dcterms:modified xsi:type="dcterms:W3CDTF">2025-08-26T10:25:00Z</dcterms:modified>
</cp:coreProperties>
</file>